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090835.xml.htm"/>
      <w:bookmarkStart w:id="1" w:name="ksform408272026_09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 Douglas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2381 ROSEGATE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HAWKINS INC</w:t>
              </w:r>
            </w:hyperlink>
            <w:r>
              <w:rPr/>
              <w:t xml:space="preserve"> [ </w:t>
            </w:r>
            <w:r>
              <w:rPr>
                <w:rFonts w:ascii="Times;serif" w:hAnsi="Times;serif"/>
                <w:color w:val="0000FF"/>
                <w:sz w:val="24"/>
                <w:shd w:fill="FFFFFF" w:val="clear"/>
              </w:rPr>
              <w:t>HWKN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 WATER TREATMENT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6"/>
        <w:gridCol w:w="924"/>
        <w:gridCol w:w="794"/>
        <w:gridCol w:w="613"/>
        <w:gridCol w:w="338"/>
        <w:gridCol w:w="750"/>
        <w:gridCol w:w="412"/>
        <w:gridCol w:w="1102"/>
        <w:gridCol w:w="1497"/>
        <w:gridCol w:w="957"/>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118.7536</w:t>
            </w:r>
            <w:r>
              <w:rPr>
                <w:rFonts w:ascii="Times;serif" w:hAnsi="Times;serif"/>
                <w:color w:val="008000"/>
                <w:position w:val="7"/>
                <w:sz w:val="16"/>
                <w:sz w:val="20"/>
                <w:shd w:fill="FFFFFF" w:val="clear"/>
              </w:rPr>
              <w:t>(1)</w:t>
            </w:r>
          </w:p>
        </w:tc>
        <w:tc>
          <w:tcPr>
            <w:tcW w:w="14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28,168.8129</w:t>
            </w:r>
            <w:r>
              <w:rPr>
                <w:rFonts w:ascii="Times;serif" w:hAnsi="Times;serif"/>
                <w:color w:val="008000"/>
                <w:position w:val="7"/>
                <w:sz w:val="16"/>
                <w:sz w:val="20"/>
                <w:shd w:fill="FFFFFF" w:val="clear"/>
              </w:rPr>
              <w:t>(2)</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821.7371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 Trustee</w:t>
            </w:r>
          </w:p>
        </w:tc>
      </w:tr>
      <w:tr>
        <w:trPr/>
        <w:tc>
          <w:tcPr>
            <w:tcW w:w="18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941.214</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price of 910 shares of common stock of Hawkins, Inc. purchased by the reporting person in multiple transactions on August 25, 2026 with purchase prices ranging from $118.61 to $118.84 per share. The reporting person undertakes to provide upon request by the U.S. Securities and Exchange Commission staff, the issuer, or a security holder of the issuer,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5.1019 shares acquired on June 12, 2026 pursuant to the Issuer's dividend reinvestment plan and 107 shares acquired on June 30, 2026 pursuant to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L. Colburn,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092" TargetMode="External"/><Relationship Id="rId5" Type="http://schemas.openxmlformats.org/officeDocument/2006/relationships/hyperlink" Target="http://www.sec.gov/cgi-bin/browse-edgar?action=getcompany&amp;CIK=00000462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3692</Characters>
  <CharactersWithSpaces>4298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