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80" w:type="dxa"/>
        <w:tblCellMar>
          <w:top w:w="0" w:type="dxa"/>
          <w:left w:w="0" w:type="dxa"/>
          <w:bottom w:w="0" w:type="dxa"/>
          <w:right w:w="0" w:type="dxa"/>
        </w:tblCellMar>
      </w:tblPr>
      <w:tr>
        <w:trPr>
          <w:trHeight w:val="338"/>
        </w:trPr>
        <w:tc>
          <w:tcPr>
            <w:tcW w:w="4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240" w:type="dxa"/>
            <w:vAlign w:val="bottom"/>
          </w:tcPr>
          <w:p>
            <w:pPr>
              <w:jc w:val="center"/>
              <w:ind w:left="1050"/>
              <w:spacing w:after="0"/>
              <w:rPr>
                <w:sz w:val="20"/>
                <w:szCs w:val="20"/>
                <w:color w:val="auto"/>
              </w:rPr>
            </w:pPr>
            <w:r>
              <w:rPr>
                <w:rFonts w:ascii="Arial" w:cs="Arial" w:eastAsia="Arial" w:hAnsi="Arial"/>
                <w:sz w:val="29"/>
                <w:szCs w:val="29"/>
                <w:b w:val="1"/>
                <w:bCs w:val="1"/>
                <w:color w:val="auto"/>
                <w:w w:val="97"/>
              </w:rPr>
              <w:t>UNITED STATES</w:t>
            </w:r>
          </w:p>
        </w:tc>
        <w:tc>
          <w:tcPr>
            <w:tcW w:w="116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366"/>
        </w:trPr>
        <w:tc>
          <w:tcPr>
            <w:tcW w:w="440" w:type="dxa"/>
            <w:vAlign w:val="bottom"/>
          </w:tcPr>
          <w:p>
            <w:pPr>
              <w:spacing w:after="0"/>
              <w:rPr>
                <w:sz w:val="24"/>
                <w:szCs w:val="24"/>
                <w:color w:val="auto"/>
              </w:rPr>
            </w:pPr>
          </w:p>
        </w:tc>
        <w:tc>
          <w:tcPr>
            <w:tcW w:w="10660" w:type="dxa"/>
            <w:vAlign w:val="bottom"/>
            <w:gridSpan w:val="4"/>
          </w:tcPr>
          <w:p>
            <w:pPr>
              <w:jc w:val="center"/>
              <w:ind w:right="460"/>
              <w:spacing w:after="0"/>
              <w:rPr>
                <w:sz w:val="20"/>
                <w:szCs w:val="20"/>
                <w:color w:val="auto"/>
              </w:rPr>
            </w:pPr>
            <w:r>
              <w:rPr>
                <w:rFonts w:ascii="Arial" w:cs="Arial" w:eastAsia="Arial" w:hAnsi="Arial"/>
                <w:sz w:val="29"/>
                <w:szCs w:val="29"/>
                <w:b w:val="1"/>
                <w:bCs w:val="1"/>
                <w:color w:val="auto"/>
                <w:w w:val="99"/>
              </w:rPr>
              <w:t>SECURITIES AND EXCHANGE COMMISSION</w:t>
            </w:r>
          </w:p>
        </w:tc>
      </w:tr>
      <w:tr>
        <w:trPr>
          <w:trHeight w:val="255"/>
        </w:trPr>
        <w:tc>
          <w:tcPr>
            <w:tcW w:w="44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4240" w:type="dxa"/>
            <w:vAlign w:val="bottom"/>
            <w:tcBorders>
              <w:bottom w:val="single" w:sz="8" w:color="auto"/>
            </w:tcBorders>
          </w:tcPr>
          <w:p>
            <w:pPr>
              <w:jc w:val="center"/>
              <w:ind w:left="1050"/>
              <w:spacing w:after="0"/>
              <w:rPr>
                <w:sz w:val="20"/>
                <w:szCs w:val="20"/>
                <w:color w:val="auto"/>
              </w:rPr>
            </w:pPr>
            <w:r>
              <w:rPr>
                <w:rFonts w:ascii="Arial" w:cs="Arial" w:eastAsia="Arial" w:hAnsi="Arial"/>
                <w:sz w:val="18"/>
                <w:szCs w:val="18"/>
                <w:b w:val="1"/>
                <w:bCs w:val="1"/>
                <w:color w:val="auto"/>
                <w:w w:val="99"/>
              </w:rPr>
              <w:t>WASHINGTON, D.C. 20549</w:t>
            </w:r>
          </w:p>
        </w:tc>
        <w:tc>
          <w:tcPr>
            <w:tcW w:w="1160" w:type="dxa"/>
            <w:vAlign w:val="bottom"/>
            <w:tcBorders>
              <w:bottom w:val="single" w:sz="8" w:color="auto"/>
            </w:tcBorders>
          </w:tcPr>
          <w:p>
            <w:pPr>
              <w:spacing w:after="0"/>
              <w:rPr>
                <w:sz w:val="22"/>
                <w:szCs w:val="22"/>
                <w:color w:val="auto"/>
              </w:rPr>
            </w:pPr>
          </w:p>
        </w:tc>
        <w:tc>
          <w:tcPr>
            <w:tcW w:w="2860" w:type="dxa"/>
            <w:vAlign w:val="bottom"/>
          </w:tcPr>
          <w:p>
            <w:pPr>
              <w:spacing w:after="0"/>
              <w:rPr>
                <w:sz w:val="22"/>
                <w:szCs w:val="22"/>
                <w:color w:val="auto"/>
              </w:rPr>
            </w:pPr>
          </w:p>
        </w:tc>
      </w:tr>
      <w:tr>
        <w:trPr>
          <w:trHeight w:val="351"/>
        </w:trPr>
        <w:tc>
          <w:tcPr>
            <w:tcW w:w="4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240" w:type="dxa"/>
            <w:vAlign w:val="bottom"/>
            <w:tcBorders>
              <w:bottom w:val="single" w:sz="8" w:color="auto"/>
            </w:tcBorders>
          </w:tcPr>
          <w:p>
            <w:pPr>
              <w:jc w:val="center"/>
              <w:ind w:left="1050"/>
              <w:spacing w:after="0"/>
              <w:rPr>
                <w:sz w:val="20"/>
                <w:szCs w:val="20"/>
                <w:color w:val="auto"/>
              </w:rPr>
            </w:pPr>
            <w:r>
              <w:rPr>
                <w:rFonts w:ascii="Arial" w:cs="Arial" w:eastAsia="Arial" w:hAnsi="Arial"/>
                <w:sz w:val="29"/>
                <w:szCs w:val="29"/>
                <w:b w:val="1"/>
                <w:bCs w:val="1"/>
                <w:color w:val="auto"/>
                <w:w w:val="98"/>
              </w:rPr>
              <w:t>FORM 10-Q</w:t>
            </w:r>
          </w:p>
        </w:tc>
        <w:tc>
          <w:tcPr>
            <w:tcW w:w="1160" w:type="dxa"/>
            <w:vAlign w:val="bottom"/>
            <w:tcBorders>
              <w:bottom w:val="single" w:sz="8" w:color="auto"/>
            </w:tcBorders>
          </w:tcPr>
          <w:p>
            <w:pPr>
              <w:spacing w:after="0"/>
              <w:rPr>
                <w:sz w:val="24"/>
                <w:szCs w:val="24"/>
                <w:color w:val="auto"/>
              </w:rPr>
            </w:pPr>
          </w:p>
        </w:tc>
        <w:tc>
          <w:tcPr>
            <w:tcW w:w="2860" w:type="dxa"/>
            <w:vAlign w:val="bottom"/>
          </w:tcPr>
          <w:p>
            <w:pPr>
              <w:spacing w:after="0"/>
              <w:rPr>
                <w:sz w:val="24"/>
                <w:szCs w:val="24"/>
                <w:color w:val="auto"/>
              </w:rPr>
            </w:pPr>
          </w:p>
        </w:tc>
      </w:tr>
      <w:tr>
        <w:trPr>
          <w:trHeight w:val="388"/>
        </w:trPr>
        <w:tc>
          <w:tcPr>
            <w:tcW w:w="44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10660" w:type="dxa"/>
            <w:vAlign w:val="bottom"/>
            <w:gridSpan w:val="4"/>
          </w:tcPr>
          <w:p>
            <w:pPr>
              <w:jc w:val="center"/>
              <w:ind w:left="365"/>
              <w:spacing w:after="0"/>
              <w:rPr>
                <w:sz w:val="20"/>
                <w:szCs w:val="20"/>
                <w:color w:val="auto"/>
              </w:rPr>
            </w:pPr>
            <w:r>
              <w:rPr>
                <w:rFonts w:ascii="Arial" w:cs="Arial" w:eastAsia="Arial" w:hAnsi="Arial"/>
                <w:sz w:val="20"/>
                <w:szCs w:val="20"/>
                <w:b w:val="1"/>
                <w:bCs w:val="1"/>
                <w:color w:val="auto"/>
                <w:w w:val="98"/>
              </w:rPr>
              <w:t>QUARTERLY REPORT PURSUANT TO SECTION 13 OR 15(d) OF THE</w:t>
            </w:r>
          </w:p>
        </w:tc>
      </w:tr>
      <w:tr>
        <w:trPr>
          <w:trHeight w:val="273"/>
        </w:trPr>
        <w:tc>
          <w:tcPr>
            <w:tcW w:w="44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8260" w:type="dxa"/>
            <w:vAlign w:val="bottom"/>
            <w:gridSpan w:val="3"/>
          </w:tcPr>
          <w:p>
            <w:pPr>
              <w:jc w:val="center"/>
              <w:ind w:right="1940"/>
              <w:spacing w:after="0"/>
              <w:rPr>
                <w:sz w:val="20"/>
                <w:szCs w:val="20"/>
                <w:color w:val="auto"/>
              </w:rPr>
            </w:pPr>
            <w:r>
              <w:rPr>
                <w:rFonts w:ascii="Arial" w:cs="Arial" w:eastAsia="Arial" w:hAnsi="Arial"/>
                <w:sz w:val="20"/>
                <w:szCs w:val="20"/>
                <w:b w:val="1"/>
                <w:bCs w:val="1"/>
                <w:color w:val="auto"/>
                <w:w w:val="98"/>
              </w:rPr>
              <w:t>SECURITIES EXCHANGE ACT OF 1934</w:t>
            </w:r>
          </w:p>
        </w:tc>
      </w:tr>
      <w:tr>
        <w:trPr>
          <w:trHeight w:val="464"/>
        </w:trPr>
        <w:tc>
          <w:tcPr>
            <w:tcW w:w="4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8260" w:type="dxa"/>
            <w:vAlign w:val="bottom"/>
            <w:gridSpan w:val="3"/>
          </w:tcPr>
          <w:p>
            <w:pPr>
              <w:jc w:val="center"/>
              <w:ind w:right="2840"/>
              <w:spacing w:after="0"/>
              <w:rPr>
                <w:sz w:val="20"/>
                <w:szCs w:val="20"/>
                <w:color w:val="auto"/>
              </w:rPr>
            </w:pPr>
            <w:r>
              <w:rPr>
                <w:rFonts w:ascii="Arial" w:cs="Arial" w:eastAsia="Arial" w:hAnsi="Arial"/>
                <w:sz w:val="18"/>
                <w:szCs w:val="18"/>
                <w:b w:val="1"/>
                <w:bCs w:val="1"/>
                <w:color w:val="auto"/>
                <w:w w:val="99"/>
              </w:rPr>
              <w:t>For the quarterly period ended September 27, 2026</w:t>
            </w:r>
          </w:p>
        </w:tc>
      </w:tr>
      <w:tr>
        <w:trPr>
          <w:trHeight w:val="288"/>
        </w:trPr>
        <w:tc>
          <w:tcPr>
            <w:tcW w:w="44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10660" w:type="dxa"/>
            <w:vAlign w:val="bottom"/>
            <w:gridSpan w:val="4"/>
          </w:tcPr>
          <w:p>
            <w:pPr>
              <w:jc w:val="center"/>
              <w:ind w:left="365"/>
              <w:spacing w:after="0"/>
              <w:rPr>
                <w:sz w:val="20"/>
                <w:szCs w:val="20"/>
                <w:color w:val="auto"/>
              </w:rPr>
            </w:pPr>
            <w:r>
              <w:rPr>
                <w:rFonts w:ascii="Arial" w:cs="Arial" w:eastAsia="Arial" w:hAnsi="Arial"/>
                <w:sz w:val="20"/>
                <w:szCs w:val="20"/>
                <w:b w:val="1"/>
                <w:bCs w:val="1"/>
                <w:color w:val="auto"/>
                <w:w w:val="98"/>
              </w:rPr>
              <w:t>TRANSITION REPORT PURSUANT TO SECTION 13 OR 15(d) OF THE</w:t>
            </w:r>
          </w:p>
        </w:tc>
      </w:tr>
      <w:tr>
        <w:trPr>
          <w:trHeight w:val="273"/>
        </w:trPr>
        <w:tc>
          <w:tcPr>
            <w:tcW w:w="44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8260" w:type="dxa"/>
            <w:vAlign w:val="bottom"/>
            <w:gridSpan w:val="3"/>
          </w:tcPr>
          <w:p>
            <w:pPr>
              <w:jc w:val="center"/>
              <w:ind w:right="1940"/>
              <w:spacing w:after="0"/>
              <w:rPr>
                <w:sz w:val="20"/>
                <w:szCs w:val="20"/>
                <w:color w:val="auto"/>
              </w:rPr>
            </w:pPr>
            <w:r>
              <w:rPr>
                <w:rFonts w:ascii="Arial" w:cs="Arial" w:eastAsia="Arial" w:hAnsi="Arial"/>
                <w:sz w:val="20"/>
                <w:szCs w:val="20"/>
                <w:b w:val="1"/>
                <w:bCs w:val="1"/>
                <w:color w:val="auto"/>
                <w:w w:val="98"/>
              </w:rPr>
              <w:t>SECURITIES EXCHANGE ACT OF 1934</w:t>
            </w:r>
          </w:p>
        </w:tc>
      </w:tr>
      <w:tr>
        <w:trPr>
          <w:trHeight w:val="422"/>
        </w:trPr>
        <w:tc>
          <w:tcPr>
            <w:tcW w:w="4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240" w:type="dxa"/>
            <w:vAlign w:val="bottom"/>
          </w:tcPr>
          <w:p>
            <w:pPr>
              <w:jc w:val="center"/>
              <w:ind w:left="1050"/>
              <w:spacing w:after="0"/>
              <w:rPr>
                <w:sz w:val="20"/>
                <w:szCs w:val="20"/>
                <w:color w:val="auto"/>
              </w:rPr>
            </w:pPr>
            <w:r>
              <w:rPr>
                <w:rFonts w:ascii="Arial" w:cs="Arial" w:eastAsia="Arial" w:hAnsi="Arial"/>
                <w:sz w:val="18"/>
                <w:szCs w:val="18"/>
                <w:b w:val="1"/>
                <w:bCs w:val="1"/>
                <w:color w:val="auto"/>
              </w:rPr>
              <w:t>Commission file number 0-7647</w:t>
            </w:r>
          </w:p>
        </w:tc>
        <w:tc>
          <w:tcPr>
            <w:tcW w:w="116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426"/>
        </w:trPr>
        <w:tc>
          <w:tcPr>
            <w:tcW w:w="4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240" w:type="dxa"/>
            <w:vAlign w:val="bottom"/>
          </w:tcPr>
          <w:p>
            <w:pPr>
              <w:jc w:val="center"/>
              <w:ind w:left="1050"/>
              <w:spacing w:after="0"/>
              <w:rPr>
                <w:sz w:val="20"/>
                <w:szCs w:val="20"/>
                <w:color w:val="auto"/>
              </w:rPr>
            </w:pPr>
            <w:r>
              <w:rPr>
                <w:rFonts w:ascii="Arial" w:cs="Arial" w:eastAsia="Arial" w:hAnsi="Arial"/>
                <w:sz w:val="32"/>
                <w:szCs w:val="32"/>
                <w:b w:val="1"/>
                <w:bCs w:val="1"/>
                <w:color w:val="auto"/>
              </w:rPr>
              <w:t>HAWKINS, INC.</w:t>
            </w:r>
          </w:p>
        </w:tc>
        <w:tc>
          <w:tcPr>
            <w:tcW w:w="116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197"/>
        </w:trPr>
        <w:tc>
          <w:tcPr>
            <w:tcW w:w="44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tcPr>
          <w:p>
            <w:pPr>
              <w:spacing w:after="0"/>
              <w:rPr>
                <w:sz w:val="17"/>
                <w:szCs w:val="17"/>
                <w:color w:val="auto"/>
              </w:rPr>
            </w:pPr>
          </w:p>
        </w:tc>
        <w:tc>
          <w:tcPr>
            <w:tcW w:w="8260" w:type="dxa"/>
            <w:vAlign w:val="bottom"/>
            <w:tcBorders>
              <w:bottom w:val="single" w:sz="8" w:color="auto"/>
            </w:tcBorders>
            <w:gridSpan w:val="3"/>
          </w:tcPr>
          <w:p>
            <w:pPr>
              <w:jc w:val="center"/>
              <w:ind w:right="2880"/>
              <w:spacing w:after="0"/>
              <w:rPr>
                <w:sz w:val="20"/>
                <w:szCs w:val="20"/>
                <w:color w:val="auto"/>
              </w:rPr>
            </w:pPr>
            <w:r>
              <w:rPr>
                <w:rFonts w:ascii="Arial" w:cs="Arial" w:eastAsia="Arial" w:hAnsi="Arial"/>
                <w:sz w:val="14"/>
                <w:szCs w:val="14"/>
                <w:b w:val="1"/>
                <w:bCs w:val="1"/>
                <w:color w:val="auto"/>
              </w:rPr>
              <w:t>(Exact name of registrant as specified in its charter)</w:t>
            </w:r>
          </w:p>
        </w:tc>
      </w:tr>
      <w:tr>
        <w:trPr>
          <w:trHeight w:val="345"/>
        </w:trPr>
        <w:tc>
          <w:tcPr>
            <w:tcW w:w="44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jc w:val="center"/>
              <w:ind w:right="1930"/>
              <w:spacing w:after="0"/>
              <w:rPr>
                <w:sz w:val="20"/>
                <w:szCs w:val="20"/>
                <w:color w:val="auto"/>
              </w:rPr>
            </w:pPr>
            <w:r>
              <w:rPr>
                <w:rFonts w:ascii="Arial" w:cs="Arial" w:eastAsia="Arial" w:hAnsi="Arial"/>
                <w:sz w:val="18"/>
                <w:szCs w:val="18"/>
                <w:b w:val="1"/>
                <w:bCs w:val="1"/>
                <w:color w:val="auto"/>
                <w:w w:val="98"/>
              </w:rPr>
              <w:t>Minnesota</w:t>
            </w:r>
          </w:p>
        </w:tc>
        <w:tc>
          <w:tcPr>
            <w:tcW w:w="4020" w:type="dxa"/>
            <w:vAlign w:val="bottom"/>
            <w:tcBorders>
              <w:bottom w:val="single" w:sz="8" w:color="auto"/>
            </w:tcBorders>
            <w:gridSpan w:val="2"/>
          </w:tcPr>
          <w:p>
            <w:pPr>
              <w:jc w:val="right"/>
              <w:ind w:right="2160"/>
              <w:spacing w:after="0"/>
              <w:rPr>
                <w:sz w:val="20"/>
                <w:szCs w:val="20"/>
                <w:color w:val="auto"/>
              </w:rPr>
            </w:pPr>
            <w:r>
              <w:rPr>
                <w:rFonts w:ascii="Arial" w:cs="Arial" w:eastAsia="Arial" w:hAnsi="Arial"/>
                <w:sz w:val="18"/>
                <w:szCs w:val="18"/>
                <w:b w:val="1"/>
                <w:bCs w:val="1"/>
                <w:color w:val="auto"/>
              </w:rPr>
              <w:t>41-0771293</w:t>
            </w:r>
          </w:p>
        </w:tc>
      </w:tr>
      <w:tr>
        <w:trPr>
          <w:trHeight w:val="208"/>
        </w:trPr>
        <w:tc>
          <w:tcPr>
            <w:tcW w:w="440" w:type="dxa"/>
            <w:vAlign w:val="bottom"/>
          </w:tcPr>
          <w:p>
            <w:pPr>
              <w:spacing w:after="0"/>
              <w:rPr>
                <w:sz w:val="18"/>
                <w:szCs w:val="18"/>
                <w:color w:val="auto"/>
              </w:rPr>
            </w:pPr>
          </w:p>
        </w:tc>
        <w:tc>
          <w:tcPr>
            <w:tcW w:w="6640" w:type="dxa"/>
            <w:vAlign w:val="bottom"/>
            <w:gridSpan w:val="2"/>
          </w:tcPr>
          <w:p>
            <w:pPr>
              <w:jc w:val="center"/>
              <w:ind w:right="1930"/>
              <w:spacing w:after="0"/>
              <w:rPr>
                <w:sz w:val="20"/>
                <w:szCs w:val="20"/>
                <w:color w:val="auto"/>
              </w:rPr>
            </w:pPr>
            <w:r>
              <w:rPr>
                <w:rFonts w:ascii="Arial" w:cs="Arial" w:eastAsia="Arial" w:hAnsi="Arial"/>
                <w:sz w:val="14"/>
                <w:szCs w:val="14"/>
                <w:b w:val="1"/>
                <w:bCs w:val="1"/>
                <w:color w:val="auto"/>
              </w:rPr>
              <w:t>(State or other jurisdiction of incorporation or organization)</w:t>
            </w:r>
          </w:p>
        </w:tc>
        <w:tc>
          <w:tcPr>
            <w:tcW w:w="4020" w:type="dxa"/>
            <w:vAlign w:val="bottom"/>
            <w:gridSpan w:val="2"/>
          </w:tcPr>
          <w:p>
            <w:pPr>
              <w:jc w:val="center"/>
              <w:ind w:right="1260"/>
              <w:spacing w:after="0"/>
              <w:rPr>
                <w:sz w:val="20"/>
                <w:szCs w:val="20"/>
                <w:color w:val="auto"/>
              </w:rPr>
            </w:pPr>
            <w:r>
              <w:rPr>
                <w:rFonts w:ascii="Arial" w:cs="Arial" w:eastAsia="Arial" w:hAnsi="Arial"/>
                <w:sz w:val="14"/>
                <w:szCs w:val="14"/>
                <w:b w:val="1"/>
                <w:bCs w:val="1"/>
                <w:color w:val="auto"/>
              </w:rPr>
              <w:t>(I.R.S. Employer Identification No.)</w:t>
            </w:r>
          </w:p>
        </w:tc>
      </w:tr>
      <w:tr>
        <w:trPr>
          <w:trHeight w:val="433"/>
        </w:trPr>
        <w:tc>
          <w:tcPr>
            <w:tcW w:w="440" w:type="dxa"/>
            <w:vAlign w:val="bottom"/>
          </w:tcPr>
          <w:p>
            <w:pPr>
              <w:spacing w:after="0"/>
              <w:rPr>
                <w:sz w:val="24"/>
                <w:szCs w:val="24"/>
                <w:color w:val="auto"/>
              </w:rPr>
            </w:pPr>
          </w:p>
        </w:tc>
        <w:tc>
          <w:tcPr>
            <w:tcW w:w="6640" w:type="dxa"/>
            <w:vAlign w:val="bottom"/>
            <w:gridSpan w:val="2"/>
          </w:tcPr>
          <w:p>
            <w:pPr>
              <w:jc w:val="center"/>
              <w:ind w:right="670"/>
              <w:spacing w:after="0"/>
              <w:rPr>
                <w:sz w:val="20"/>
                <w:szCs w:val="20"/>
                <w:color w:val="auto"/>
              </w:rPr>
            </w:pPr>
            <w:r>
              <w:rPr>
                <w:rFonts w:ascii="Arial" w:cs="Arial" w:eastAsia="Arial" w:hAnsi="Arial"/>
                <w:sz w:val="18"/>
                <w:szCs w:val="18"/>
                <w:b w:val="1"/>
                <w:bCs w:val="1"/>
                <w:color w:val="auto"/>
                <w:w w:val="99"/>
              </w:rPr>
              <w:t>2381 Rosegate, Roseville, Minnesota</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55113</w:t>
            </w:r>
          </w:p>
        </w:tc>
        <w:tc>
          <w:tcPr>
            <w:tcW w:w="2860" w:type="dxa"/>
            <w:vAlign w:val="bottom"/>
          </w:tcPr>
          <w:p>
            <w:pPr>
              <w:spacing w:after="0"/>
              <w:rPr>
                <w:sz w:val="24"/>
                <w:szCs w:val="24"/>
                <w:color w:val="auto"/>
              </w:rPr>
            </w:pPr>
          </w:p>
        </w:tc>
      </w:tr>
      <w:tr>
        <w:trPr>
          <w:trHeight w:val="256"/>
        </w:trPr>
        <w:tc>
          <w:tcPr>
            <w:tcW w:w="440" w:type="dxa"/>
            <w:vAlign w:val="bottom"/>
          </w:tcPr>
          <w:p>
            <w:pPr>
              <w:spacing w:after="0"/>
              <w:rPr>
                <w:sz w:val="22"/>
                <w:szCs w:val="22"/>
                <w:color w:val="auto"/>
              </w:rPr>
            </w:pPr>
          </w:p>
        </w:tc>
        <w:tc>
          <w:tcPr>
            <w:tcW w:w="6640" w:type="dxa"/>
            <w:vAlign w:val="bottom"/>
            <w:gridSpan w:val="2"/>
          </w:tcPr>
          <w:p>
            <w:pPr>
              <w:jc w:val="center"/>
              <w:ind w:right="650"/>
              <w:spacing w:after="0"/>
              <w:rPr>
                <w:sz w:val="20"/>
                <w:szCs w:val="20"/>
                <w:color w:val="auto"/>
              </w:rPr>
            </w:pPr>
            <w:r>
              <w:rPr>
                <w:rFonts w:ascii="Arial" w:cs="Arial" w:eastAsia="Arial" w:hAnsi="Arial"/>
                <w:sz w:val="14"/>
                <w:szCs w:val="14"/>
                <w:b w:val="1"/>
                <w:bCs w:val="1"/>
                <w:color w:val="auto"/>
              </w:rPr>
              <w:t>(Address of principal executive offices)</w:t>
            </w:r>
          </w:p>
        </w:tc>
        <w:tc>
          <w:tcPr>
            <w:tcW w:w="4020" w:type="dxa"/>
            <w:vAlign w:val="bottom"/>
            <w:gridSpan w:val="2"/>
          </w:tcPr>
          <w:p>
            <w:pPr>
              <w:jc w:val="center"/>
              <w:ind w:right="2220"/>
              <w:spacing w:after="0"/>
              <w:rPr>
                <w:sz w:val="20"/>
                <w:szCs w:val="20"/>
                <w:color w:val="auto"/>
              </w:rPr>
            </w:pPr>
            <w:r>
              <w:rPr>
                <w:rFonts w:ascii="Arial" w:cs="Arial" w:eastAsia="Arial" w:hAnsi="Arial"/>
                <w:sz w:val="14"/>
                <w:szCs w:val="14"/>
                <w:b w:val="1"/>
                <w:bCs w:val="1"/>
                <w:color w:val="auto"/>
              </w:rPr>
              <w:t>(Zip code)</w:t>
            </w:r>
          </w:p>
        </w:tc>
      </w:tr>
    </w:tbl>
    <w:p>
      <w:pPr>
        <w:spacing w:after="0" w:line="19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250825</wp:posOffset>
            </wp:positionH>
            <wp:positionV relativeFrom="page">
              <wp:posOffset>534670</wp:posOffset>
            </wp:positionV>
            <wp:extent cx="705485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4850" cy="17145"/>
                    </a:xfrm>
                    <a:prstGeom prst="rect">
                      <a:avLst/>
                    </a:prstGeom>
                    <a:noFill/>
                  </pic:spPr>
                </pic:pic>
              </a:graphicData>
            </a:graphic>
          </wp:anchor>
        </w:drawing>
        <w:drawing>
          <wp:anchor simplePos="0" relativeHeight="251657728" behindDoc="1" locked="0" layoutInCell="0" allowOverlap="1">
            <wp:simplePos x="0" y="0"/>
            <wp:positionH relativeFrom="page">
              <wp:posOffset>250825</wp:posOffset>
            </wp:positionH>
            <wp:positionV relativeFrom="page">
              <wp:posOffset>483235</wp:posOffset>
            </wp:positionV>
            <wp:extent cx="7054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(612) 331-6910</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1856740</wp:posOffset>
            </wp:positionH>
            <wp:positionV relativeFrom="paragraph">
              <wp:posOffset>23495</wp:posOffset>
            </wp:positionV>
            <wp:extent cx="34290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30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3580" w:type="dxa"/>
            <w:vAlign w:val="bottom"/>
            <w:tcBorders>
              <w:bottom w:val="single" w:sz="8" w:color="auto"/>
            </w:tcBorders>
          </w:tcPr>
          <w:p>
            <w:pPr>
              <w:ind w:left="1160"/>
              <w:spacing w:after="0"/>
              <w:rPr>
                <w:sz w:val="20"/>
                <w:szCs w:val="20"/>
                <w:color w:val="auto"/>
              </w:rPr>
            </w:pPr>
            <w:r>
              <w:rPr>
                <w:rFonts w:ascii="Arial" w:cs="Arial" w:eastAsia="Arial" w:hAnsi="Arial"/>
                <w:sz w:val="16"/>
                <w:szCs w:val="16"/>
                <w:b w:val="1"/>
                <w:bCs w:val="1"/>
                <w:color w:val="auto"/>
              </w:rPr>
              <w:t>Title of each class</w:t>
            </w: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Trading Symbol(s)</w:t>
            </w:r>
          </w:p>
        </w:tc>
        <w:tc>
          <w:tcPr>
            <w:tcW w:w="49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21"/>
        </w:trPr>
        <w:tc>
          <w:tcPr>
            <w:tcW w:w="3580" w:type="dxa"/>
            <w:vAlign w:val="bottom"/>
          </w:tcPr>
          <w:p>
            <w:pPr>
              <w:ind w:left="20"/>
              <w:spacing w:after="0"/>
              <w:rPr>
                <w:sz w:val="20"/>
                <w:szCs w:val="20"/>
                <w:color w:val="auto"/>
              </w:rPr>
            </w:pPr>
            <w:r>
              <w:rPr>
                <w:rFonts w:ascii="Arial" w:cs="Arial" w:eastAsia="Arial" w:hAnsi="Arial"/>
                <w:sz w:val="16"/>
                <w:szCs w:val="16"/>
                <w:color w:val="auto"/>
              </w:rPr>
              <w:t>Common Stock, par value $.01 per share</w:t>
            </w:r>
          </w:p>
        </w:tc>
        <w:tc>
          <w:tcPr>
            <w:tcW w:w="2660" w:type="dxa"/>
            <w:vAlign w:val="bottom"/>
          </w:tcPr>
          <w:p>
            <w:pPr>
              <w:jc w:val="center"/>
              <w:spacing w:after="0"/>
              <w:rPr>
                <w:sz w:val="20"/>
                <w:szCs w:val="20"/>
                <w:color w:val="auto"/>
              </w:rPr>
            </w:pPr>
            <w:r>
              <w:rPr>
                <w:rFonts w:ascii="Arial" w:cs="Arial" w:eastAsia="Arial" w:hAnsi="Arial"/>
                <w:sz w:val="16"/>
                <w:szCs w:val="16"/>
                <w:color w:val="auto"/>
              </w:rPr>
              <w:t>HWKN</w:t>
            </w:r>
          </w:p>
        </w:tc>
        <w:tc>
          <w:tcPr>
            <w:tcW w:w="4980" w:type="dxa"/>
            <w:vAlign w:val="bottom"/>
          </w:tcPr>
          <w:p>
            <w:pPr>
              <w:jc w:val="center"/>
              <w:ind w:right="119"/>
              <w:spacing w:after="0"/>
              <w:rPr>
                <w:sz w:val="20"/>
                <w:szCs w:val="20"/>
                <w:color w:val="auto"/>
              </w:rPr>
            </w:pPr>
            <w:r>
              <w:rPr>
                <w:rFonts w:ascii="Arial" w:cs="Arial" w:eastAsia="Arial" w:hAnsi="Arial"/>
                <w:sz w:val="16"/>
                <w:szCs w:val="16"/>
                <w:color w:val="auto"/>
              </w:rPr>
              <w:t>The Nasdaq Stock Market LLC</w:t>
            </w:r>
          </w:p>
        </w:tc>
      </w:tr>
    </w:tbl>
    <w:p>
      <w:pPr>
        <w:spacing w:after="0" w:line="240" w:lineRule="exact"/>
        <w:rPr>
          <w:sz w:val="24"/>
          <w:szCs w:val="24"/>
          <w:color w:val="auto"/>
        </w:rPr>
      </w:pPr>
    </w:p>
    <w:p>
      <w:pPr>
        <w:ind w:right="100"/>
        <w:spacing w:after="0" w:line="23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ind w:right="260"/>
        <w:spacing w:after="0" w:line="232"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ind w:right="28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6" w:lineRule="exact"/>
        <w:rPr>
          <w:sz w:val="24"/>
          <w:szCs w:val="24"/>
          <w:color w:val="auto"/>
        </w:rPr>
      </w:pPr>
    </w:p>
    <w:tbl>
      <w:tblPr>
        <w:tblLayout w:type="fixed"/>
        <w:tblInd w:w="20" w:type="dxa"/>
        <w:tblCellMar>
          <w:top w:w="0" w:type="dxa"/>
          <w:left w:w="0" w:type="dxa"/>
          <w:bottom w:w="0" w:type="dxa"/>
          <w:right w:w="0" w:type="dxa"/>
        </w:tblCellMar>
      </w:tblPr>
      <w:tr>
        <w:trPr>
          <w:trHeight w:val="330"/>
        </w:trPr>
        <w:tc>
          <w:tcPr>
            <w:tcW w:w="20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02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600"/>
              <w:spacing w:after="0"/>
              <w:rPr>
                <w:sz w:val="20"/>
                <w:szCs w:val="20"/>
                <w:color w:val="auto"/>
              </w:rPr>
            </w:pPr>
            <w:r>
              <w:rPr>
                <w:rFonts w:ascii="Arial" w:cs="Arial" w:eastAsia="Arial" w:hAnsi="Arial"/>
                <w:sz w:val="18"/>
                <w:szCs w:val="18"/>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73"/>
        </w:trPr>
        <w:tc>
          <w:tcPr>
            <w:tcW w:w="2020" w:type="dxa"/>
            <w:vAlign w:val="bottom"/>
          </w:tcPr>
          <w:p>
            <w:pPr>
              <w:spacing w:after="0"/>
              <w:rPr>
                <w:sz w:val="20"/>
                <w:szCs w:val="20"/>
                <w:color w:val="auto"/>
              </w:rPr>
            </w:pPr>
            <w:r>
              <w:rPr>
                <w:rFonts w:ascii="Arial" w:cs="Arial" w:eastAsia="Arial" w:hAnsi="Arial"/>
                <w:sz w:val="18"/>
                <w:szCs w:val="18"/>
                <w:color w:val="auto"/>
              </w:rPr>
              <w:t>Non-accelerated filer</w:t>
            </w:r>
          </w:p>
        </w:tc>
        <w:tc>
          <w:tcPr>
            <w:tcW w:w="302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600"/>
              <w:spacing w:after="0"/>
              <w:rPr>
                <w:sz w:val="20"/>
                <w:szCs w:val="20"/>
                <w:color w:val="auto"/>
              </w:rPr>
            </w:pPr>
            <w:r>
              <w:rPr>
                <w:rFonts w:ascii="Arial" w:cs="Arial" w:eastAsia="Arial" w:hAnsi="Arial"/>
                <w:sz w:val="18"/>
                <w:szCs w:val="18"/>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08"/>
        </w:trPr>
        <w:tc>
          <w:tcPr>
            <w:tcW w:w="20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5100" w:type="dxa"/>
            <w:vAlign w:val="bottom"/>
          </w:tcPr>
          <w:p>
            <w:pPr>
              <w:ind w:left="2600"/>
              <w:spacing w:after="0"/>
              <w:rPr>
                <w:sz w:val="20"/>
                <w:szCs w:val="20"/>
                <w:color w:val="auto"/>
              </w:rPr>
            </w:pPr>
            <w:r>
              <w:rPr>
                <w:rFonts w:ascii="Arial" w:cs="Arial" w:eastAsia="Arial" w:hAnsi="Arial"/>
                <w:sz w:val="18"/>
                <w:szCs w:val="18"/>
                <w:color w:val="auto"/>
              </w:rPr>
              <w:t>Emerging growth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0" w:lineRule="exact"/>
        <w:rPr>
          <w:sz w:val="24"/>
          <w:szCs w:val="24"/>
          <w:color w:val="auto"/>
        </w:rPr>
      </w:pPr>
    </w:p>
    <w:p>
      <w:pPr>
        <w:ind w:right="200"/>
        <w:spacing w:after="0" w:line="225"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ind w:left="660" w:right="2240" w:hanging="647"/>
        <w:spacing w:after="0" w:line="216"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55"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CLASS</w:t>
            </w:r>
          </w:p>
        </w:tc>
        <w:tc>
          <w:tcPr>
            <w:tcW w:w="340" w:type="dxa"/>
            <w:vAlign w:val="bottom"/>
          </w:tcPr>
          <w:p>
            <w:pPr>
              <w:spacing w:after="0"/>
              <w:rPr>
                <w:sz w:val="16"/>
                <w:szCs w:val="16"/>
                <w:color w:val="auto"/>
              </w:rPr>
            </w:pPr>
          </w:p>
        </w:tc>
        <w:tc>
          <w:tcPr>
            <w:tcW w:w="5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Shares Outstanding at October 21, 2026</w:t>
            </w:r>
          </w:p>
        </w:tc>
        <w:tc>
          <w:tcPr>
            <w:tcW w:w="20" w:type="dxa"/>
            <w:vAlign w:val="bottom"/>
          </w:tcPr>
          <w:p>
            <w:pPr>
              <w:spacing w:after="0"/>
              <w:rPr>
                <w:sz w:val="16"/>
                <w:szCs w:val="16"/>
                <w:color w:val="auto"/>
              </w:rPr>
            </w:pPr>
          </w:p>
        </w:tc>
      </w:tr>
      <w:tr>
        <w:trPr>
          <w:trHeight w:val="244"/>
        </w:trPr>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700" w:type="dxa"/>
            <w:vAlign w:val="bottom"/>
            <w:gridSpan w:val="2"/>
          </w:tcPr>
          <w:p>
            <w:pPr>
              <w:jc w:val="center"/>
              <w:ind w:right="380"/>
              <w:spacing w:after="0"/>
              <w:rPr>
                <w:sz w:val="20"/>
                <w:szCs w:val="20"/>
                <w:color w:val="auto"/>
              </w:rPr>
            </w:pPr>
            <w:r>
              <w:rPr>
                <w:rFonts w:ascii="Arial" w:cs="Arial" w:eastAsia="Arial" w:hAnsi="Arial"/>
                <w:sz w:val="18"/>
                <w:szCs w:val="18"/>
                <w:color w:val="auto"/>
                <w:w w:val="99"/>
              </w:rPr>
              <w:t>Common Stock, par value $.01 per share</w:t>
            </w:r>
          </w:p>
        </w:tc>
        <w:tc>
          <w:tcPr>
            <w:tcW w:w="5400" w:type="dxa"/>
            <w:vAlign w:val="bottom"/>
          </w:tcPr>
          <w:p>
            <w:pPr>
              <w:jc w:val="right"/>
              <w:ind w:right="2139"/>
              <w:spacing w:after="0"/>
              <w:rPr>
                <w:sz w:val="20"/>
                <w:szCs w:val="20"/>
                <w:color w:val="auto"/>
              </w:rPr>
            </w:pPr>
            <w:r>
              <w:rPr>
                <w:rFonts w:ascii="Arial" w:cs="Arial" w:eastAsia="Arial" w:hAnsi="Arial"/>
                <w:sz w:val="18"/>
                <w:szCs w:val="18"/>
                <w:color w:val="auto"/>
              </w:rPr>
              <w:t>20,792,062</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18"/>
        </w:trPr>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3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54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68"/>
        </w:trPr>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53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540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925"/>
        </w:trPr>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jc w:val="center"/>
        <w:ind w:right="-859"/>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INDEX TO FORM 10-Q</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b w:val="1"/>
                <w:bCs w:val="1"/>
                <w:color w:val="auto"/>
              </w:rPr>
              <w:t>Page</w:t>
            </w:r>
          </w:p>
        </w:tc>
      </w:tr>
      <w:tr>
        <w:trPr>
          <w:trHeight w:val="245"/>
        </w:trPr>
        <w:tc>
          <w:tcPr>
            <w:tcW w:w="11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8020" w:type="dxa"/>
            <w:vAlign w:val="bottom"/>
            <w:gridSpan w:val="21"/>
          </w:tcPr>
          <w:p>
            <w:pPr>
              <w:spacing w:after="0"/>
              <w:rPr>
                <w:sz w:val="20"/>
                <w:szCs w:val="20"/>
                <w:color w:val="auto"/>
              </w:rPr>
            </w:pPr>
            <w:r>
              <w:rPr>
                <w:rFonts w:ascii="Arial" w:cs="Arial" w:eastAsia="Arial" w:hAnsi="Arial"/>
                <w:sz w:val="18"/>
                <w:szCs w:val="18"/>
                <w:b w:val="1"/>
                <w:bCs w:val="1"/>
                <w:color w:val="0000FF"/>
              </w:rPr>
              <w:t>FINANCIAL INFORMATION</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1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1120" w:type="dxa"/>
            <w:vAlign w:val="bottom"/>
          </w:tcPr>
          <w:p>
            <w:pPr>
              <w:spacing w:after="0"/>
              <w:rPr>
                <w:sz w:val="20"/>
                <w:szCs w:val="20"/>
                <w:color w:val="auto"/>
              </w:rPr>
            </w:pPr>
            <w:r>
              <w:rPr>
                <w:rFonts w:ascii="Arial" w:cs="Arial" w:eastAsia="Arial" w:hAnsi="Arial"/>
                <w:sz w:val="18"/>
                <w:szCs w:val="18"/>
                <w:color w:val="auto"/>
              </w:rPr>
              <w:t>Item 1.</w:t>
            </w:r>
          </w:p>
        </w:tc>
        <w:tc>
          <w:tcPr>
            <w:tcW w:w="8020" w:type="dxa"/>
            <w:vAlign w:val="bottom"/>
            <w:gridSpan w:val="21"/>
          </w:tcPr>
          <w:p>
            <w:pPr>
              <w:spacing w:after="0"/>
              <w:rPr>
                <w:sz w:val="20"/>
                <w:szCs w:val="20"/>
                <w:color w:val="auto"/>
              </w:rPr>
            </w:pPr>
            <w:r>
              <w:rPr>
                <w:rFonts w:ascii="Arial" w:cs="Arial" w:eastAsia="Arial" w:hAnsi="Arial"/>
                <w:sz w:val="18"/>
                <w:szCs w:val="18"/>
                <w:color w:val="0000FF"/>
              </w:rPr>
              <w:t>Financial Statements (unaudited):</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1120" w:type="dxa"/>
            <w:vAlign w:val="bottom"/>
          </w:tcPr>
          <w:p>
            <w:pPr>
              <w:spacing w:after="0"/>
              <w:rPr>
                <w:sz w:val="24"/>
                <w:szCs w:val="24"/>
                <w:color w:val="auto"/>
              </w:rPr>
            </w:pPr>
          </w:p>
        </w:tc>
        <w:tc>
          <w:tcPr>
            <w:tcW w:w="8020" w:type="dxa"/>
            <w:vAlign w:val="bottom"/>
            <w:gridSpan w:val="21"/>
          </w:tcPr>
          <w:p>
            <w:pPr>
              <w:spacing w:after="0"/>
              <w:rPr>
                <w:sz w:val="20"/>
                <w:szCs w:val="20"/>
                <w:color w:val="auto"/>
              </w:rPr>
            </w:pPr>
            <w:r>
              <w:rPr>
                <w:rFonts w:ascii="Arial" w:cs="Arial" w:eastAsia="Arial" w:hAnsi="Arial"/>
                <w:sz w:val="18"/>
                <w:szCs w:val="18"/>
                <w:color w:val="0000FF"/>
              </w:rPr>
              <w:t>Condensed Consolidated Balance Sheets – September 27, 2026 and March 29, 2026</w:t>
            </w:r>
          </w:p>
        </w:tc>
        <w:tc>
          <w:tcPr>
            <w:tcW w:w="1040" w:type="dxa"/>
            <w:vAlign w:val="bottom"/>
            <w:gridSpan w:val="3"/>
          </w:tcPr>
          <w:p>
            <w:pPr>
              <w:jc w:val="right"/>
              <w:spacing w:after="0"/>
              <w:rPr>
                <w:sz w:val="20"/>
                <w:szCs w:val="20"/>
                <w:color w:val="auto"/>
              </w:rPr>
            </w:pPr>
            <w:r>
              <w:rPr>
                <w:rFonts w:ascii="Arial" w:cs="Arial" w:eastAsia="Arial" w:hAnsi="Arial"/>
                <w:sz w:val="18"/>
                <w:szCs w:val="18"/>
                <w:color w:val="0000FF"/>
              </w:rPr>
              <w:t>1</w:t>
            </w:r>
          </w:p>
        </w:tc>
      </w:tr>
      <w:tr>
        <w:trPr>
          <w:trHeight w:val="20"/>
        </w:trPr>
        <w:tc>
          <w:tcPr>
            <w:tcW w:w="1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9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77"/>
        </w:trPr>
        <w:tc>
          <w:tcPr>
            <w:tcW w:w="1120" w:type="dxa"/>
            <w:vAlign w:val="bottom"/>
          </w:tcPr>
          <w:p>
            <w:pPr>
              <w:spacing w:after="0"/>
              <w:rPr>
                <w:sz w:val="24"/>
                <w:szCs w:val="24"/>
                <w:color w:val="auto"/>
              </w:rPr>
            </w:pPr>
          </w:p>
        </w:tc>
        <w:tc>
          <w:tcPr>
            <w:tcW w:w="8020" w:type="dxa"/>
            <w:vAlign w:val="bottom"/>
            <w:gridSpan w:val="21"/>
          </w:tcPr>
          <w:p>
            <w:pPr>
              <w:spacing w:after="0"/>
              <w:rPr>
                <w:sz w:val="20"/>
                <w:szCs w:val="20"/>
                <w:color w:val="auto"/>
              </w:rPr>
            </w:pPr>
            <w:r>
              <w:rPr>
                <w:rFonts w:ascii="Arial" w:cs="Arial" w:eastAsia="Arial" w:hAnsi="Arial"/>
                <w:sz w:val="18"/>
                <w:szCs w:val="18"/>
                <w:color w:val="0000FF"/>
              </w:rPr>
              <w:t>Condensed Consolidated Statements of Income – Three and Six Months Ended September</w:t>
            </w:r>
          </w:p>
        </w:tc>
        <w:tc>
          <w:tcPr>
            <w:tcW w:w="1040" w:type="dxa"/>
            <w:vAlign w:val="bottom"/>
            <w:gridSpan w:val="3"/>
          </w:tcPr>
          <w:p>
            <w:pPr>
              <w:jc w:val="right"/>
              <w:spacing w:after="0"/>
              <w:rPr>
                <w:sz w:val="20"/>
                <w:szCs w:val="20"/>
                <w:color w:val="auto"/>
              </w:rPr>
            </w:pPr>
            <w:r>
              <w:rPr>
                <w:rFonts w:ascii="Arial" w:cs="Arial" w:eastAsia="Arial" w:hAnsi="Arial"/>
                <w:sz w:val="18"/>
                <w:szCs w:val="18"/>
                <w:color w:val="0000FF"/>
              </w:rPr>
              <w:t>2</w:t>
            </w:r>
          </w:p>
        </w:tc>
      </w:tr>
      <w:tr>
        <w:trPr>
          <w:trHeight w:val="156"/>
        </w:trPr>
        <w:tc>
          <w:tcPr>
            <w:tcW w:w="1120" w:type="dxa"/>
            <w:vAlign w:val="bottom"/>
          </w:tcPr>
          <w:p>
            <w:pPr>
              <w:spacing w:after="0"/>
              <w:rPr>
                <w:sz w:val="13"/>
                <w:szCs w:val="13"/>
                <w:color w:val="auto"/>
              </w:rPr>
            </w:pPr>
          </w:p>
        </w:tc>
        <w:tc>
          <w:tcPr>
            <w:tcW w:w="7280" w:type="dxa"/>
            <w:vAlign w:val="bottom"/>
            <w:tcBorders>
              <w:top w:val="single" w:sz="8" w:color="0000FF"/>
            </w:tcBorders>
            <w:gridSpan w:val="19"/>
          </w:tcPr>
          <w:p>
            <w:pPr>
              <w:spacing w:after="0" w:line="156" w:lineRule="exact"/>
              <w:rPr>
                <w:sz w:val="20"/>
                <w:szCs w:val="20"/>
                <w:color w:val="auto"/>
              </w:rPr>
            </w:pPr>
            <w:r>
              <w:rPr>
                <w:rFonts w:ascii="Arial" w:cs="Arial" w:eastAsia="Arial" w:hAnsi="Arial"/>
                <w:sz w:val="18"/>
                <w:szCs w:val="18"/>
                <w:color w:val="0000FF"/>
              </w:rPr>
              <w:t>27, 2026 and September 28, 2025</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91"/>
        </w:trPr>
        <w:tc>
          <w:tcPr>
            <w:tcW w:w="1120" w:type="dxa"/>
            <w:vAlign w:val="bottom"/>
          </w:tcPr>
          <w:p>
            <w:pPr>
              <w:spacing w:after="0"/>
              <w:rPr>
                <w:sz w:val="24"/>
                <w:szCs w:val="24"/>
                <w:color w:val="auto"/>
              </w:rPr>
            </w:pPr>
          </w:p>
        </w:tc>
        <w:tc>
          <w:tcPr>
            <w:tcW w:w="8020" w:type="dxa"/>
            <w:vAlign w:val="bottom"/>
            <w:gridSpan w:val="21"/>
          </w:tcPr>
          <w:p>
            <w:pPr>
              <w:spacing w:after="0"/>
              <w:rPr>
                <w:sz w:val="20"/>
                <w:szCs w:val="20"/>
                <w:color w:val="auto"/>
              </w:rPr>
            </w:pPr>
            <w:r>
              <w:rPr>
                <w:rFonts w:ascii="Arial" w:cs="Arial" w:eastAsia="Arial" w:hAnsi="Arial"/>
                <w:sz w:val="18"/>
                <w:szCs w:val="18"/>
                <w:color w:val="0000FF"/>
              </w:rPr>
              <w:t>Condensed Consolidated Statements of Comprehensive Income – Three and Six Months</w:t>
            </w:r>
          </w:p>
        </w:tc>
        <w:tc>
          <w:tcPr>
            <w:tcW w:w="1040" w:type="dxa"/>
            <w:vAlign w:val="bottom"/>
            <w:gridSpan w:val="3"/>
          </w:tcPr>
          <w:p>
            <w:pPr>
              <w:jc w:val="right"/>
              <w:spacing w:after="0"/>
              <w:rPr>
                <w:sz w:val="20"/>
                <w:szCs w:val="20"/>
                <w:color w:val="auto"/>
              </w:rPr>
            </w:pPr>
            <w:r>
              <w:rPr>
                <w:rFonts w:ascii="Arial" w:cs="Arial" w:eastAsia="Arial" w:hAnsi="Arial"/>
                <w:sz w:val="18"/>
                <w:szCs w:val="18"/>
                <w:color w:val="0000FF"/>
              </w:rPr>
              <w:t>3</w:t>
            </w:r>
          </w:p>
        </w:tc>
      </w:tr>
      <w:tr>
        <w:trPr>
          <w:trHeight w:val="156"/>
        </w:trPr>
        <w:tc>
          <w:tcPr>
            <w:tcW w:w="1120" w:type="dxa"/>
            <w:vAlign w:val="bottom"/>
          </w:tcPr>
          <w:p>
            <w:pPr>
              <w:spacing w:after="0"/>
              <w:rPr>
                <w:sz w:val="13"/>
                <w:szCs w:val="13"/>
                <w:color w:val="auto"/>
              </w:rPr>
            </w:pPr>
          </w:p>
        </w:tc>
        <w:tc>
          <w:tcPr>
            <w:tcW w:w="7080" w:type="dxa"/>
            <w:vAlign w:val="bottom"/>
            <w:tcBorders>
              <w:top w:val="single" w:sz="8" w:color="0000FF"/>
            </w:tcBorders>
            <w:gridSpan w:val="18"/>
          </w:tcPr>
          <w:p>
            <w:pPr>
              <w:spacing w:after="0" w:line="156" w:lineRule="exact"/>
              <w:rPr>
                <w:sz w:val="20"/>
                <w:szCs w:val="20"/>
                <w:color w:val="auto"/>
              </w:rPr>
            </w:pPr>
            <w:r>
              <w:rPr>
                <w:rFonts w:ascii="Arial" w:cs="Arial" w:eastAsia="Arial" w:hAnsi="Arial"/>
                <w:sz w:val="18"/>
                <w:szCs w:val="18"/>
                <w:color w:val="0000FF"/>
              </w:rPr>
              <w:t>Ended September 27, 2026 and September 28, 2025</w:t>
            </w:r>
          </w:p>
        </w:tc>
        <w:tc>
          <w:tcPr>
            <w:tcW w:w="320" w:type="dxa"/>
            <w:vAlign w:val="bottom"/>
            <w:gridSpan w:val="2"/>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90"/>
        </w:trPr>
        <w:tc>
          <w:tcPr>
            <w:tcW w:w="1120" w:type="dxa"/>
            <w:vAlign w:val="bottom"/>
          </w:tcPr>
          <w:p>
            <w:pPr>
              <w:spacing w:after="0"/>
              <w:rPr>
                <w:sz w:val="24"/>
                <w:szCs w:val="24"/>
                <w:color w:val="auto"/>
              </w:rPr>
            </w:pPr>
          </w:p>
        </w:tc>
        <w:tc>
          <w:tcPr>
            <w:tcW w:w="8020" w:type="dxa"/>
            <w:vAlign w:val="bottom"/>
            <w:gridSpan w:val="21"/>
          </w:tcPr>
          <w:p>
            <w:pPr>
              <w:spacing w:after="0"/>
              <w:rPr>
                <w:sz w:val="20"/>
                <w:szCs w:val="20"/>
                <w:color w:val="auto"/>
              </w:rPr>
            </w:pPr>
            <w:r>
              <w:rPr>
                <w:rFonts w:ascii="Arial" w:cs="Arial" w:eastAsia="Arial" w:hAnsi="Arial"/>
                <w:sz w:val="18"/>
                <w:szCs w:val="18"/>
                <w:color w:val="0000FF"/>
              </w:rPr>
              <w:t>Condensed Consolidated Statements of Shareholders' Equity – Three and Six Months Ended</w:t>
            </w:r>
          </w:p>
        </w:tc>
        <w:tc>
          <w:tcPr>
            <w:tcW w:w="1040" w:type="dxa"/>
            <w:vAlign w:val="bottom"/>
            <w:gridSpan w:val="3"/>
          </w:tcPr>
          <w:p>
            <w:pPr>
              <w:jc w:val="right"/>
              <w:spacing w:after="0"/>
              <w:rPr>
                <w:sz w:val="20"/>
                <w:szCs w:val="20"/>
                <w:color w:val="auto"/>
              </w:rPr>
            </w:pPr>
            <w:r>
              <w:rPr>
                <w:rFonts w:ascii="Arial" w:cs="Arial" w:eastAsia="Arial" w:hAnsi="Arial"/>
                <w:sz w:val="18"/>
                <w:szCs w:val="18"/>
                <w:color w:val="0000FF"/>
              </w:rPr>
              <w:t>4</w:t>
            </w:r>
          </w:p>
        </w:tc>
      </w:tr>
      <w:tr>
        <w:trPr>
          <w:trHeight w:val="156"/>
        </w:trPr>
        <w:tc>
          <w:tcPr>
            <w:tcW w:w="1120" w:type="dxa"/>
            <w:vAlign w:val="bottom"/>
          </w:tcPr>
          <w:p>
            <w:pPr>
              <w:spacing w:after="0"/>
              <w:rPr>
                <w:sz w:val="13"/>
                <w:szCs w:val="13"/>
                <w:color w:val="auto"/>
              </w:rPr>
            </w:pPr>
          </w:p>
        </w:tc>
        <w:tc>
          <w:tcPr>
            <w:tcW w:w="3660" w:type="dxa"/>
            <w:vAlign w:val="bottom"/>
            <w:tcBorders>
              <w:top w:val="single" w:sz="8" w:color="0000FF"/>
              <w:bottom w:val="single" w:sz="8" w:color="0000FF"/>
            </w:tcBorders>
            <w:gridSpan w:val="12"/>
          </w:tcPr>
          <w:p>
            <w:pPr>
              <w:spacing w:after="0" w:line="156" w:lineRule="exact"/>
              <w:rPr>
                <w:sz w:val="20"/>
                <w:szCs w:val="20"/>
                <w:color w:val="auto"/>
              </w:rPr>
            </w:pPr>
            <w:r>
              <w:rPr>
                <w:rFonts w:ascii="Arial" w:cs="Arial" w:eastAsia="Arial" w:hAnsi="Arial"/>
                <w:sz w:val="18"/>
                <w:szCs w:val="18"/>
                <w:color w:val="0000FF"/>
                <w:w w:val="99"/>
              </w:rPr>
              <w:t>September 27, 2026 and September 28, 2025</w:t>
            </w:r>
          </w:p>
        </w:tc>
        <w:tc>
          <w:tcPr>
            <w:tcW w:w="3740" w:type="dxa"/>
            <w:vAlign w:val="bottom"/>
            <w:tcBorders>
              <w:top w:val="single" w:sz="8" w:color="0000FF"/>
            </w:tcBorders>
            <w:gridSpan w:val="8"/>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r>
      <w:tr>
        <w:trPr>
          <w:trHeight w:val="311"/>
        </w:trPr>
        <w:tc>
          <w:tcPr>
            <w:tcW w:w="1120" w:type="dxa"/>
            <w:vAlign w:val="bottom"/>
          </w:tcPr>
          <w:p>
            <w:pPr>
              <w:spacing w:after="0"/>
              <w:rPr>
                <w:sz w:val="24"/>
                <w:szCs w:val="24"/>
                <w:color w:val="auto"/>
              </w:rPr>
            </w:pPr>
          </w:p>
        </w:tc>
        <w:tc>
          <w:tcPr>
            <w:tcW w:w="8020" w:type="dxa"/>
            <w:vAlign w:val="bottom"/>
            <w:gridSpan w:val="21"/>
          </w:tcPr>
          <w:p>
            <w:pPr>
              <w:spacing w:after="0"/>
              <w:rPr>
                <w:sz w:val="20"/>
                <w:szCs w:val="20"/>
                <w:color w:val="auto"/>
              </w:rPr>
            </w:pPr>
            <w:r>
              <w:rPr>
                <w:rFonts w:ascii="Arial" w:cs="Arial" w:eastAsia="Arial" w:hAnsi="Arial"/>
                <w:sz w:val="18"/>
                <w:szCs w:val="18"/>
                <w:color w:val="0000FF"/>
              </w:rPr>
              <w:t>Condensed Consolidated Statements of Cash Flows – Six Months Ended September 27,</w:t>
            </w:r>
          </w:p>
        </w:tc>
        <w:tc>
          <w:tcPr>
            <w:tcW w:w="1040" w:type="dxa"/>
            <w:vAlign w:val="bottom"/>
            <w:gridSpan w:val="3"/>
          </w:tcPr>
          <w:p>
            <w:pPr>
              <w:jc w:val="right"/>
              <w:spacing w:after="0"/>
              <w:rPr>
                <w:sz w:val="20"/>
                <w:szCs w:val="20"/>
                <w:color w:val="auto"/>
              </w:rPr>
            </w:pPr>
            <w:r>
              <w:rPr>
                <w:rFonts w:ascii="Arial" w:cs="Arial" w:eastAsia="Arial" w:hAnsi="Arial"/>
                <w:sz w:val="18"/>
                <w:szCs w:val="18"/>
                <w:color w:val="0000FF"/>
              </w:rPr>
              <w:t>5</w:t>
            </w:r>
          </w:p>
        </w:tc>
      </w:tr>
      <w:tr>
        <w:trPr>
          <w:trHeight w:val="136"/>
        </w:trPr>
        <w:tc>
          <w:tcPr>
            <w:tcW w:w="1120" w:type="dxa"/>
            <w:vAlign w:val="bottom"/>
          </w:tcPr>
          <w:p>
            <w:pPr>
              <w:spacing w:after="0"/>
              <w:rPr>
                <w:sz w:val="11"/>
                <w:szCs w:val="11"/>
                <w:color w:val="auto"/>
              </w:rPr>
            </w:pPr>
          </w:p>
        </w:tc>
        <w:tc>
          <w:tcPr>
            <w:tcW w:w="6800" w:type="dxa"/>
            <w:vAlign w:val="bottom"/>
            <w:tcBorders>
              <w:top w:val="single" w:sz="8" w:color="0000FF"/>
            </w:tcBorders>
            <w:gridSpan w:val="17"/>
          </w:tcPr>
          <w:p>
            <w:pPr>
              <w:spacing w:after="0" w:line="136" w:lineRule="exact"/>
              <w:rPr>
                <w:sz w:val="20"/>
                <w:szCs w:val="20"/>
                <w:color w:val="auto"/>
              </w:rPr>
            </w:pPr>
            <w:r>
              <w:rPr>
                <w:rFonts w:ascii="Arial" w:cs="Arial" w:eastAsia="Arial" w:hAnsi="Arial"/>
                <w:sz w:val="15"/>
                <w:szCs w:val="15"/>
                <w:color w:val="0000FF"/>
              </w:rPr>
              <w:t>2026 and September 28, 2025</w:t>
            </w:r>
          </w:p>
        </w:tc>
        <w:tc>
          <w:tcPr>
            <w:tcW w:w="280" w:type="dxa"/>
            <w:vAlign w:val="bottom"/>
            <w:tcBorders>
              <w:top w:val="single" w:sz="8" w:color="0000FF"/>
            </w:tcBorders>
          </w:tcPr>
          <w:p>
            <w:pPr>
              <w:spacing w:after="0"/>
              <w:rPr>
                <w:sz w:val="11"/>
                <w:szCs w:val="11"/>
                <w:color w:val="auto"/>
              </w:rPr>
            </w:pPr>
          </w:p>
        </w:tc>
        <w:tc>
          <w:tcPr>
            <w:tcW w:w="940" w:type="dxa"/>
            <w:vAlign w:val="bottom"/>
            <w:gridSpan w:val="3"/>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r>
      <w:tr>
        <w:trPr>
          <w:trHeight w:val="20"/>
        </w:trPr>
        <w:tc>
          <w:tcPr>
            <w:tcW w:w="1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90"/>
        </w:trPr>
        <w:tc>
          <w:tcPr>
            <w:tcW w:w="1120" w:type="dxa"/>
            <w:vAlign w:val="bottom"/>
          </w:tcPr>
          <w:p>
            <w:pPr>
              <w:spacing w:after="0"/>
              <w:rPr>
                <w:sz w:val="24"/>
                <w:szCs w:val="24"/>
                <w:color w:val="auto"/>
              </w:rPr>
            </w:pPr>
          </w:p>
        </w:tc>
        <w:tc>
          <w:tcPr>
            <w:tcW w:w="8020" w:type="dxa"/>
            <w:vAlign w:val="bottom"/>
            <w:gridSpan w:val="21"/>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1040" w:type="dxa"/>
            <w:vAlign w:val="bottom"/>
            <w:gridSpan w:val="3"/>
          </w:tcPr>
          <w:p>
            <w:pPr>
              <w:jc w:val="right"/>
              <w:spacing w:after="0"/>
              <w:rPr>
                <w:sz w:val="20"/>
                <w:szCs w:val="20"/>
                <w:color w:val="auto"/>
              </w:rPr>
            </w:pPr>
            <w:r>
              <w:rPr>
                <w:rFonts w:ascii="Arial" w:cs="Arial" w:eastAsia="Arial" w:hAnsi="Arial"/>
                <w:sz w:val="18"/>
                <w:szCs w:val="18"/>
                <w:color w:val="0000FF"/>
              </w:rPr>
              <w:t>6</w:t>
            </w:r>
          </w:p>
        </w:tc>
      </w:tr>
      <w:tr>
        <w:trPr>
          <w:trHeight w:val="20"/>
        </w:trPr>
        <w:tc>
          <w:tcPr>
            <w:tcW w:w="1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920" w:type="dxa"/>
            <w:vAlign w:val="bottom"/>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77"/>
        </w:trPr>
        <w:tc>
          <w:tcPr>
            <w:tcW w:w="1120" w:type="dxa"/>
            <w:vAlign w:val="bottom"/>
          </w:tcPr>
          <w:p>
            <w:pPr>
              <w:spacing w:after="0"/>
              <w:rPr>
                <w:sz w:val="20"/>
                <w:szCs w:val="20"/>
                <w:color w:val="auto"/>
              </w:rPr>
            </w:pPr>
            <w:r>
              <w:rPr>
                <w:rFonts w:ascii="Arial" w:cs="Arial" w:eastAsia="Arial" w:hAnsi="Arial"/>
                <w:sz w:val="18"/>
                <w:szCs w:val="18"/>
                <w:color w:val="auto"/>
              </w:rPr>
              <w:t>Item 2.</w:t>
            </w:r>
          </w:p>
        </w:tc>
        <w:tc>
          <w:tcPr>
            <w:tcW w:w="7080" w:type="dxa"/>
            <w:vAlign w:val="bottom"/>
            <w:gridSpan w:val="18"/>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940" w:type="dxa"/>
            <w:vAlign w:val="bottom"/>
            <w:gridSpan w:val="3"/>
          </w:tcPr>
          <w:p>
            <w:pPr>
              <w:spacing w:after="0"/>
              <w:rPr>
                <w:sz w:val="24"/>
                <w:szCs w:val="24"/>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0000FF"/>
              </w:rPr>
              <w:t>17</w:t>
            </w:r>
          </w:p>
        </w:tc>
      </w:tr>
      <w:tr>
        <w:trPr>
          <w:trHeight w:val="20"/>
        </w:trPr>
        <w:tc>
          <w:tcPr>
            <w:tcW w:w="1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9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77"/>
        </w:trPr>
        <w:tc>
          <w:tcPr>
            <w:tcW w:w="1120" w:type="dxa"/>
            <w:vAlign w:val="bottom"/>
          </w:tcPr>
          <w:p>
            <w:pPr>
              <w:spacing w:after="0"/>
              <w:rPr>
                <w:sz w:val="20"/>
                <w:szCs w:val="20"/>
                <w:color w:val="auto"/>
              </w:rPr>
            </w:pPr>
            <w:r>
              <w:rPr>
                <w:rFonts w:ascii="Arial" w:cs="Arial" w:eastAsia="Arial" w:hAnsi="Arial"/>
                <w:sz w:val="18"/>
                <w:szCs w:val="18"/>
                <w:color w:val="auto"/>
              </w:rPr>
              <w:t>Item 3.</w:t>
            </w:r>
          </w:p>
        </w:tc>
        <w:tc>
          <w:tcPr>
            <w:tcW w:w="7080" w:type="dxa"/>
            <w:vAlign w:val="bottom"/>
            <w:gridSpan w:val="18"/>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940" w:type="dxa"/>
            <w:vAlign w:val="bottom"/>
            <w:gridSpan w:val="3"/>
          </w:tcPr>
          <w:p>
            <w:pPr>
              <w:spacing w:after="0"/>
              <w:rPr>
                <w:sz w:val="24"/>
                <w:szCs w:val="24"/>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0000FF"/>
              </w:rPr>
              <w:t>18</w:t>
            </w:r>
          </w:p>
        </w:tc>
      </w:tr>
      <w:tr>
        <w:trPr>
          <w:trHeight w:val="20"/>
        </w:trPr>
        <w:tc>
          <w:tcPr>
            <w:tcW w:w="1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140" w:type="dxa"/>
            <w:vAlign w:val="bottom"/>
            <w:gridSpan w:val="6"/>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8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77"/>
        </w:trPr>
        <w:tc>
          <w:tcPr>
            <w:tcW w:w="1120" w:type="dxa"/>
            <w:vAlign w:val="bottom"/>
          </w:tcPr>
          <w:p>
            <w:pPr>
              <w:spacing w:after="0"/>
              <w:rPr>
                <w:sz w:val="20"/>
                <w:szCs w:val="20"/>
                <w:color w:val="auto"/>
              </w:rPr>
            </w:pPr>
            <w:r>
              <w:rPr>
                <w:rFonts w:ascii="Arial" w:cs="Arial" w:eastAsia="Arial" w:hAnsi="Arial"/>
                <w:sz w:val="18"/>
                <w:szCs w:val="18"/>
                <w:color w:val="auto"/>
              </w:rPr>
              <w:t>Item 4.</w:t>
            </w:r>
          </w:p>
        </w:tc>
        <w:tc>
          <w:tcPr>
            <w:tcW w:w="4680" w:type="dxa"/>
            <w:vAlign w:val="bottom"/>
            <w:gridSpan w:val="15"/>
          </w:tcPr>
          <w:p>
            <w:pPr>
              <w:spacing w:after="0"/>
              <w:rPr>
                <w:sz w:val="20"/>
                <w:szCs w:val="20"/>
                <w:color w:val="auto"/>
              </w:rPr>
            </w:pPr>
            <w:r>
              <w:rPr>
                <w:rFonts w:ascii="Arial" w:cs="Arial" w:eastAsia="Arial" w:hAnsi="Arial"/>
                <w:sz w:val="18"/>
                <w:szCs w:val="18"/>
                <w:color w:val="0000FF"/>
              </w:rPr>
              <w:t>Controls and Procedures</w:t>
            </w:r>
          </w:p>
        </w:tc>
        <w:tc>
          <w:tcPr>
            <w:tcW w:w="3340" w:type="dxa"/>
            <w:vAlign w:val="bottom"/>
            <w:gridSpan w:val="6"/>
          </w:tcPr>
          <w:p>
            <w:pPr>
              <w:spacing w:after="0"/>
              <w:rPr>
                <w:sz w:val="24"/>
                <w:szCs w:val="24"/>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0000FF"/>
              </w:rPr>
              <w:t>18</w:t>
            </w:r>
          </w:p>
        </w:tc>
      </w:tr>
      <w:tr>
        <w:trPr>
          <w:trHeight w:val="277"/>
        </w:trPr>
        <w:tc>
          <w:tcPr>
            <w:tcW w:w="11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1980" w:type="dxa"/>
            <w:vAlign w:val="bottom"/>
            <w:tcBorders>
              <w:top w:val="single" w:sz="8" w:color="0000FF"/>
            </w:tcBorders>
            <w:gridSpan w:val="6"/>
          </w:tcPr>
          <w:p>
            <w:pPr>
              <w:spacing w:after="0"/>
              <w:rPr>
                <w:sz w:val="20"/>
                <w:szCs w:val="20"/>
                <w:color w:val="auto"/>
              </w:rPr>
            </w:pPr>
            <w:r>
              <w:rPr>
                <w:rFonts w:ascii="Arial" w:cs="Arial" w:eastAsia="Arial" w:hAnsi="Arial"/>
                <w:sz w:val="18"/>
                <w:szCs w:val="18"/>
                <w:b w:val="1"/>
                <w:bCs w:val="1"/>
                <w:color w:val="0000FF"/>
              </w:rPr>
              <w:t>OTHER INFORMATION</w:t>
            </w:r>
          </w:p>
        </w:tc>
        <w:tc>
          <w:tcPr>
            <w:tcW w:w="6040" w:type="dxa"/>
            <w:vAlign w:val="bottom"/>
            <w:gridSpan w:val="15"/>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277"/>
        </w:trPr>
        <w:tc>
          <w:tcPr>
            <w:tcW w:w="1120" w:type="dxa"/>
            <w:vAlign w:val="bottom"/>
          </w:tcPr>
          <w:p>
            <w:pPr>
              <w:spacing w:after="0"/>
              <w:rPr>
                <w:sz w:val="20"/>
                <w:szCs w:val="20"/>
                <w:color w:val="auto"/>
              </w:rPr>
            </w:pPr>
            <w:r>
              <w:rPr>
                <w:rFonts w:ascii="Arial" w:cs="Arial" w:eastAsia="Arial" w:hAnsi="Arial"/>
                <w:sz w:val="18"/>
                <w:szCs w:val="18"/>
                <w:color w:val="auto"/>
              </w:rPr>
              <w:t>Item 1.</w:t>
            </w:r>
          </w:p>
        </w:tc>
        <w:tc>
          <w:tcPr>
            <w:tcW w:w="192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0000FF"/>
              </w:rPr>
              <w:t>Legal Proceedings</w:t>
            </w:r>
          </w:p>
        </w:tc>
        <w:tc>
          <w:tcPr>
            <w:tcW w:w="6100" w:type="dxa"/>
            <w:vAlign w:val="bottom"/>
            <w:gridSpan w:val="16"/>
          </w:tcPr>
          <w:p>
            <w:pPr>
              <w:spacing w:after="0"/>
              <w:rPr>
                <w:sz w:val="24"/>
                <w:szCs w:val="24"/>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0000FF"/>
              </w:rPr>
              <w:t>19</w:t>
            </w:r>
          </w:p>
        </w:tc>
      </w:tr>
      <w:tr>
        <w:trPr>
          <w:trHeight w:val="20"/>
        </w:trPr>
        <w:tc>
          <w:tcPr>
            <w:tcW w:w="1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77"/>
        </w:trPr>
        <w:tc>
          <w:tcPr>
            <w:tcW w:w="1120" w:type="dxa"/>
            <w:vAlign w:val="bottom"/>
          </w:tcPr>
          <w:p>
            <w:pPr>
              <w:spacing w:after="0"/>
              <w:rPr>
                <w:sz w:val="20"/>
                <w:szCs w:val="20"/>
                <w:color w:val="auto"/>
              </w:rPr>
            </w:pPr>
            <w:r>
              <w:rPr>
                <w:rFonts w:ascii="Arial" w:cs="Arial" w:eastAsia="Arial" w:hAnsi="Arial"/>
                <w:sz w:val="18"/>
                <w:szCs w:val="18"/>
                <w:color w:val="auto"/>
              </w:rPr>
              <w:t>Item 1A.</w:t>
            </w:r>
          </w:p>
        </w:tc>
        <w:tc>
          <w:tcPr>
            <w:tcW w:w="1000" w:type="dxa"/>
            <w:vAlign w:val="bottom"/>
            <w:gridSpan w:val="2"/>
          </w:tcPr>
          <w:p>
            <w:pPr>
              <w:spacing w:after="0"/>
              <w:rPr>
                <w:sz w:val="20"/>
                <w:szCs w:val="20"/>
                <w:color w:val="auto"/>
              </w:rPr>
            </w:pPr>
            <w:r>
              <w:rPr>
                <w:rFonts w:ascii="Arial" w:cs="Arial" w:eastAsia="Arial" w:hAnsi="Arial"/>
                <w:sz w:val="18"/>
                <w:szCs w:val="18"/>
                <w:color w:val="0000FF"/>
                <w:w w:val="97"/>
              </w:rPr>
              <w:t>Risk Factors</w:t>
            </w:r>
          </w:p>
        </w:tc>
        <w:tc>
          <w:tcPr>
            <w:tcW w:w="480" w:type="dxa"/>
            <w:vAlign w:val="bottom"/>
            <w:gridSpan w:val="2"/>
          </w:tcPr>
          <w:p>
            <w:pPr>
              <w:spacing w:after="0"/>
              <w:rPr>
                <w:sz w:val="24"/>
                <w:szCs w:val="24"/>
                <w:color w:val="auto"/>
              </w:rPr>
            </w:pPr>
          </w:p>
        </w:tc>
        <w:tc>
          <w:tcPr>
            <w:tcW w:w="6540" w:type="dxa"/>
            <w:vAlign w:val="bottom"/>
            <w:gridSpan w:val="17"/>
          </w:tcPr>
          <w:p>
            <w:pPr>
              <w:spacing w:after="0"/>
              <w:rPr>
                <w:sz w:val="24"/>
                <w:szCs w:val="24"/>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0000FF"/>
              </w:rPr>
              <w:t>19</w:t>
            </w:r>
          </w:p>
        </w:tc>
      </w:tr>
      <w:tr>
        <w:trPr>
          <w:trHeight w:val="20"/>
        </w:trPr>
        <w:tc>
          <w:tcPr>
            <w:tcW w:w="1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318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77"/>
        </w:trPr>
        <w:tc>
          <w:tcPr>
            <w:tcW w:w="1120" w:type="dxa"/>
            <w:vAlign w:val="bottom"/>
          </w:tcPr>
          <w:p>
            <w:pPr>
              <w:spacing w:after="0"/>
              <w:rPr>
                <w:sz w:val="20"/>
                <w:szCs w:val="20"/>
                <w:color w:val="auto"/>
              </w:rPr>
            </w:pPr>
            <w:r>
              <w:rPr>
                <w:rFonts w:ascii="Arial" w:cs="Arial" w:eastAsia="Arial" w:hAnsi="Arial"/>
                <w:sz w:val="18"/>
                <w:szCs w:val="18"/>
                <w:color w:val="auto"/>
              </w:rPr>
              <w:t>Item 2.</w:t>
            </w:r>
          </w:p>
        </w:tc>
        <w:tc>
          <w:tcPr>
            <w:tcW w:w="8020" w:type="dxa"/>
            <w:vAlign w:val="bottom"/>
            <w:gridSpan w:val="21"/>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1040" w:type="dxa"/>
            <w:vAlign w:val="bottom"/>
            <w:gridSpan w:val="3"/>
          </w:tcPr>
          <w:p>
            <w:pPr>
              <w:jc w:val="right"/>
              <w:spacing w:after="0"/>
              <w:rPr>
                <w:sz w:val="20"/>
                <w:szCs w:val="20"/>
                <w:color w:val="auto"/>
              </w:rPr>
            </w:pPr>
            <w:r>
              <w:rPr>
                <w:rFonts w:ascii="Arial" w:cs="Arial" w:eastAsia="Arial" w:hAnsi="Arial"/>
                <w:sz w:val="18"/>
                <w:szCs w:val="18"/>
                <w:color w:val="0000FF"/>
              </w:rPr>
              <w:t>19</w:t>
            </w:r>
          </w:p>
        </w:tc>
      </w:tr>
      <w:tr>
        <w:trPr>
          <w:trHeight w:val="20"/>
        </w:trPr>
        <w:tc>
          <w:tcPr>
            <w:tcW w:w="1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77"/>
        </w:trPr>
        <w:tc>
          <w:tcPr>
            <w:tcW w:w="1120" w:type="dxa"/>
            <w:vAlign w:val="bottom"/>
          </w:tcPr>
          <w:p>
            <w:pPr>
              <w:spacing w:after="0"/>
              <w:rPr>
                <w:sz w:val="20"/>
                <w:szCs w:val="20"/>
                <w:color w:val="auto"/>
              </w:rPr>
            </w:pPr>
            <w:r>
              <w:rPr>
                <w:rFonts w:ascii="Arial" w:cs="Arial" w:eastAsia="Arial" w:hAnsi="Arial"/>
                <w:sz w:val="18"/>
                <w:szCs w:val="18"/>
                <w:color w:val="auto"/>
              </w:rPr>
              <w:t>Item 3.</w:t>
            </w:r>
          </w:p>
        </w:tc>
        <w:tc>
          <w:tcPr>
            <w:tcW w:w="4840" w:type="dxa"/>
            <w:vAlign w:val="bottom"/>
            <w:gridSpan w:val="16"/>
          </w:tcPr>
          <w:p>
            <w:pPr>
              <w:spacing w:after="0"/>
              <w:rPr>
                <w:sz w:val="20"/>
                <w:szCs w:val="20"/>
                <w:color w:val="auto"/>
              </w:rPr>
            </w:pPr>
            <w:r>
              <w:rPr>
                <w:rFonts w:ascii="Arial" w:cs="Arial" w:eastAsia="Arial" w:hAnsi="Arial"/>
                <w:sz w:val="18"/>
                <w:szCs w:val="18"/>
                <w:color w:val="0000FF"/>
              </w:rPr>
              <w:t>Defaults Upon Senior Securities</w:t>
            </w:r>
          </w:p>
        </w:tc>
        <w:tc>
          <w:tcPr>
            <w:tcW w:w="3180" w:type="dxa"/>
            <w:vAlign w:val="bottom"/>
            <w:gridSpan w:val="5"/>
          </w:tcPr>
          <w:p>
            <w:pPr>
              <w:spacing w:after="0"/>
              <w:rPr>
                <w:sz w:val="24"/>
                <w:szCs w:val="24"/>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0000FF"/>
              </w:rPr>
              <w:t>19</w:t>
            </w:r>
          </w:p>
        </w:tc>
      </w:tr>
      <w:tr>
        <w:trPr>
          <w:trHeight w:val="20"/>
        </w:trPr>
        <w:tc>
          <w:tcPr>
            <w:tcW w:w="1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5480" w:type="dxa"/>
            <w:vAlign w:val="bottom"/>
            <w:gridSpan w:val="1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77"/>
        </w:trPr>
        <w:tc>
          <w:tcPr>
            <w:tcW w:w="1120" w:type="dxa"/>
            <w:vAlign w:val="bottom"/>
          </w:tcPr>
          <w:p>
            <w:pPr>
              <w:spacing w:after="0"/>
              <w:rPr>
                <w:sz w:val="20"/>
                <w:szCs w:val="20"/>
                <w:color w:val="auto"/>
              </w:rPr>
            </w:pPr>
            <w:r>
              <w:rPr>
                <w:rFonts w:ascii="Arial" w:cs="Arial" w:eastAsia="Arial" w:hAnsi="Arial"/>
                <w:sz w:val="18"/>
                <w:szCs w:val="18"/>
                <w:color w:val="auto"/>
              </w:rPr>
              <w:t>Item 4.</w:t>
            </w:r>
          </w:p>
        </w:tc>
        <w:tc>
          <w:tcPr>
            <w:tcW w:w="2540" w:type="dxa"/>
            <w:vAlign w:val="bottom"/>
            <w:gridSpan w:val="9"/>
          </w:tcPr>
          <w:p>
            <w:pPr>
              <w:spacing w:after="0"/>
              <w:rPr>
                <w:sz w:val="20"/>
                <w:szCs w:val="20"/>
                <w:color w:val="auto"/>
              </w:rPr>
            </w:pPr>
            <w:r>
              <w:rPr>
                <w:rFonts w:ascii="Arial" w:cs="Arial" w:eastAsia="Arial" w:hAnsi="Arial"/>
                <w:sz w:val="18"/>
                <w:szCs w:val="18"/>
                <w:color w:val="0000FF"/>
              </w:rPr>
              <w:t>Mine Safety Disclosures</w:t>
            </w:r>
          </w:p>
        </w:tc>
        <w:tc>
          <w:tcPr>
            <w:tcW w:w="5480" w:type="dxa"/>
            <w:vAlign w:val="bottom"/>
            <w:gridSpan w:val="12"/>
          </w:tcPr>
          <w:p>
            <w:pPr>
              <w:spacing w:after="0"/>
              <w:rPr>
                <w:sz w:val="24"/>
                <w:szCs w:val="24"/>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0000FF"/>
              </w:rPr>
              <w:t>19</w:t>
            </w:r>
          </w:p>
        </w:tc>
      </w:tr>
      <w:tr>
        <w:trPr>
          <w:trHeight w:val="20"/>
        </w:trPr>
        <w:tc>
          <w:tcPr>
            <w:tcW w:w="1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77"/>
        </w:trPr>
        <w:tc>
          <w:tcPr>
            <w:tcW w:w="1120" w:type="dxa"/>
            <w:vAlign w:val="bottom"/>
          </w:tcPr>
          <w:p>
            <w:pPr>
              <w:spacing w:after="0"/>
              <w:rPr>
                <w:sz w:val="20"/>
                <w:szCs w:val="20"/>
                <w:color w:val="auto"/>
              </w:rPr>
            </w:pPr>
            <w:r>
              <w:rPr>
                <w:rFonts w:ascii="Arial" w:cs="Arial" w:eastAsia="Arial" w:hAnsi="Arial"/>
                <w:sz w:val="18"/>
                <w:szCs w:val="18"/>
                <w:color w:val="auto"/>
              </w:rPr>
              <w:t>Item 5.</w:t>
            </w:r>
          </w:p>
        </w:tc>
        <w:tc>
          <w:tcPr>
            <w:tcW w:w="1400" w:type="dxa"/>
            <w:vAlign w:val="bottom"/>
            <w:gridSpan w:val="3"/>
          </w:tcPr>
          <w:p>
            <w:pPr>
              <w:spacing w:after="0"/>
              <w:rPr>
                <w:sz w:val="20"/>
                <w:szCs w:val="20"/>
                <w:color w:val="auto"/>
              </w:rPr>
            </w:pPr>
            <w:r>
              <w:rPr>
                <w:rFonts w:ascii="Arial" w:cs="Arial" w:eastAsia="Arial" w:hAnsi="Arial"/>
                <w:sz w:val="18"/>
                <w:szCs w:val="18"/>
                <w:color w:val="0000FF"/>
                <w:w w:val="98"/>
              </w:rPr>
              <w:t>Other Information</w:t>
            </w:r>
          </w:p>
        </w:tc>
        <w:tc>
          <w:tcPr>
            <w:tcW w:w="520" w:type="dxa"/>
            <w:vAlign w:val="bottom"/>
            <w:gridSpan w:val="2"/>
          </w:tcPr>
          <w:p>
            <w:pPr>
              <w:spacing w:after="0"/>
              <w:rPr>
                <w:sz w:val="24"/>
                <w:szCs w:val="24"/>
                <w:color w:val="auto"/>
              </w:rPr>
            </w:pPr>
          </w:p>
        </w:tc>
        <w:tc>
          <w:tcPr>
            <w:tcW w:w="6100" w:type="dxa"/>
            <w:vAlign w:val="bottom"/>
            <w:gridSpan w:val="16"/>
          </w:tcPr>
          <w:p>
            <w:pPr>
              <w:spacing w:after="0"/>
              <w:rPr>
                <w:sz w:val="24"/>
                <w:szCs w:val="24"/>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0000FF"/>
              </w:rPr>
              <w:t>19</w:t>
            </w:r>
          </w:p>
        </w:tc>
      </w:tr>
      <w:tr>
        <w:trPr>
          <w:trHeight w:val="20"/>
        </w:trPr>
        <w:tc>
          <w:tcPr>
            <w:tcW w:w="1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620" w:type="dxa"/>
            <w:vAlign w:val="bottom"/>
            <w:gridSpan w:val="1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77"/>
        </w:trPr>
        <w:tc>
          <w:tcPr>
            <w:tcW w:w="1120" w:type="dxa"/>
            <w:vAlign w:val="bottom"/>
          </w:tcPr>
          <w:p>
            <w:pPr>
              <w:spacing w:after="0"/>
              <w:rPr>
                <w:sz w:val="20"/>
                <w:szCs w:val="20"/>
                <w:color w:val="auto"/>
              </w:rPr>
            </w:pPr>
            <w:r>
              <w:rPr>
                <w:rFonts w:ascii="Arial" w:cs="Arial" w:eastAsia="Arial" w:hAnsi="Arial"/>
                <w:sz w:val="18"/>
                <w:szCs w:val="18"/>
                <w:color w:val="auto"/>
              </w:rPr>
              <w:t>Item 6.</w:t>
            </w:r>
          </w:p>
        </w:tc>
        <w:tc>
          <w:tcPr>
            <w:tcW w:w="1400" w:type="dxa"/>
            <w:vAlign w:val="bottom"/>
            <w:gridSpan w:val="3"/>
          </w:tcPr>
          <w:p>
            <w:pPr>
              <w:spacing w:after="0"/>
              <w:rPr>
                <w:sz w:val="20"/>
                <w:szCs w:val="20"/>
                <w:color w:val="auto"/>
              </w:rPr>
            </w:pPr>
            <w:r>
              <w:rPr>
                <w:rFonts w:ascii="Arial" w:cs="Arial" w:eastAsia="Arial" w:hAnsi="Arial"/>
                <w:sz w:val="18"/>
                <w:szCs w:val="18"/>
                <w:color w:val="0000FF"/>
              </w:rPr>
              <w:t>Exhibits</w:t>
            </w:r>
          </w:p>
        </w:tc>
        <w:tc>
          <w:tcPr>
            <w:tcW w:w="6620" w:type="dxa"/>
            <w:vAlign w:val="bottom"/>
            <w:gridSpan w:val="18"/>
          </w:tcPr>
          <w:p>
            <w:pPr>
              <w:spacing w:after="0"/>
              <w:rPr>
                <w:sz w:val="24"/>
                <w:szCs w:val="24"/>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0000FF"/>
              </w:rPr>
              <w:t>20</w:t>
            </w:r>
          </w:p>
        </w:tc>
      </w:tr>
      <w:tr>
        <w:trPr>
          <w:trHeight w:val="20"/>
        </w:trPr>
        <w:tc>
          <w:tcPr>
            <w:tcW w:w="1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80"/>
          </w:cols>
          <w:pgMar w:left="420" w:top="607" w:right="129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data)</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27,</w:t>
            </w:r>
          </w:p>
        </w:tc>
        <w:tc>
          <w:tcPr>
            <w:tcW w:w="240" w:type="dxa"/>
            <w:vAlign w:val="bottom"/>
          </w:tcPr>
          <w:p>
            <w:pPr>
              <w:spacing w:after="0"/>
              <w:rPr>
                <w:sz w:val="17"/>
                <w:szCs w:val="17"/>
                <w:color w:val="auto"/>
              </w:rPr>
            </w:pPr>
          </w:p>
        </w:tc>
        <w:tc>
          <w:tcPr>
            <w:tcW w:w="1300" w:type="dxa"/>
            <w:vAlign w:val="bottom"/>
          </w:tcPr>
          <w:p>
            <w:pPr>
              <w:jc w:val="right"/>
              <w:ind w:right="250"/>
              <w:spacing w:after="0"/>
              <w:rPr>
                <w:sz w:val="20"/>
                <w:szCs w:val="20"/>
                <w:color w:val="auto"/>
              </w:rPr>
            </w:pPr>
            <w:r>
              <w:rPr>
                <w:rFonts w:ascii="Arial" w:cs="Arial" w:eastAsia="Arial" w:hAnsi="Arial"/>
                <w:sz w:val="18"/>
                <w:szCs w:val="18"/>
                <w:b w:val="1"/>
                <w:bCs w:val="1"/>
                <w:color w:val="auto"/>
              </w:rPr>
              <w:t>March 29,</w:t>
            </w:r>
          </w:p>
        </w:tc>
        <w:tc>
          <w:tcPr>
            <w:tcW w:w="0" w:type="dxa"/>
            <w:vAlign w:val="bottom"/>
          </w:tcPr>
          <w:p>
            <w:pPr>
              <w:spacing w:after="0"/>
              <w:rPr>
                <w:sz w:val="1"/>
                <w:szCs w:val="1"/>
                <w:color w:val="auto"/>
              </w:rPr>
            </w:pPr>
          </w:p>
        </w:tc>
      </w:tr>
      <w:tr>
        <w:trPr>
          <w:trHeight w:val="243"/>
        </w:trPr>
        <w:tc>
          <w:tcPr>
            <w:tcW w:w="79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2026</w:t>
            </w:r>
          </w:p>
        </w:tc>
        <w:tc>
          <w:tcPr>
            <w:tcW w:w="0" w:type="dxa"/>
            <w:vAlign w:val="bottom"/>
          </w:tcPr>
          <w:p>
            <w:pPr>
              <w:spacing w:after="0"/>
              <w:rPr>
                <w:sz w:val="1"/>
                <w:szCs w:val="1"/>
                <w:color w:val="auto"/>
              </w:rPr>
            </w:pPr>
          </w:p>
        </w:tc>
      </w:tr>
      <w:tr>
        <w:trPr>
          <w:trHeight w:val="223"/>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9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3,914</w:t>
            </w:r>
          </w:p>
        </w:tc>
        <w:tc>
          <w:tcPr>
            <w:tcW w:w="0" w:type="dxa"/>
            <w:vAlign w:val="bottom"/>
          </w:tcPr>
          <w:p>
            <w:pPr>
              <w:spacing w:after="0"/>
              <w:rPr>
                <w:sz w:val="1"/>
                <w:szCs w:val="1"/>
                <w:color w:val="auto"/>
              </w:rPr>
            </w:pPr>
          </w:p>
        </w:tc>
      </w:tr>
      <w:tr>
        <w:trPr>
          <w:trHeight w:val="243"/>
        </w:trPr>
        <w:tc>
          <w:tcPr>
            <w:tcW w:w="7920" w:type="dxa"/>
            <w:vAlign w:val="bottom"/>
          </w:tcPr>
          <w:p>
            <w:pPr>
              <w:ind w:left="360"/>
              <w:spacing w:after="0"/>
              <w:rPr>
                <w:sz w:val="20"/>
                <w:szCs w:val="20"/>
                <w:color w:val="auto"/>
              </w:rPr>
            </w:pPr>
            <w:r>
              <w:rPr>
                <w:rFonts w:ascii="Arial" w:cs="Arial" w:eastAsia="Arial" w:hAnsi="Arial"/>
                <w:sz w:val="18"/>
                <w:szCs w:val="18"/>
                <w:color w:val="auto"/>
              </w:rPr>
              <w:t>Trade accounts receivables, net</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149,281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139,796</w:t>
            </w:r>
          </w:p>
        </w:tc>
        <w:tc>
          <w:tcPr>
            <w:tcW w:w="0" w:type="dxa"/>
            <w:vAlign w:val="bottom"/>
          </w:tcPr>
          <w:p>
            <w:pPr>
              <w:spacing w:after="0"/>
              <w:rPr>
                <w:sz w:val="1"/>
                <w:szCs w:val="1"/>
                <w:color w:val="auto"/>
              </w:rPr>
            </w:pPr>
          </w:p>
        </w:tc>
      </w:tr>
      <w:tr>
        <w:trPr>
          <w:trHeight w:val="243"/>
        </w:trPr>
        <w:tc>
          <w:tcPr>
            <w:tcW w:w="7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92,947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78,199</w:t>
            </w:r>
          </w:p>
        </w:tc>
        <w:tc>
          <w:tcPr>
            <w:tcW w:w="0" w:type="dxa"/>
            <w:vAlign w:val="bottom"/>
          </w:tcPr>
          <w:p>
            <w:pPr>
              <w:spacing w:after="0"/>
              <w:rPr>
                <w:sz w:val="1"/>
                <w:szCs w:val="1"/>
                <w:color w:val="auto"/>
              </w:rPr>
            </w:pPr>
          </w:p>
        </w:tc>
      </w:tr>
      <w:tr>
        <w:trPr>
          <w:trHeight w:val="243"/>
        </w:trPr>
        <w:tc>
          <w:tcPr>
            <w:tcW w:w="79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9,556</w:t>
            </w:r>
          </w:p>
        </w:tc>
        <w:tc>
          <w:tcPr>
            <w:tcW w:w="0" w:type="dxa"/>
            <w:vAlign w:val="bottom"/>
          </w:tcPr>
          <w:p>
            <w:pPr>
              <w:spacing w:after="0"/>
              <w:rPr>
                <w:sz w:val="1"/>
                <w:szCs w:val="1"/>
                <w:color w:val="auto"/>
              </w:rPr>
            </w:pPr>
          </w:p>
        </w:tc>
      </w:tr>
      <w:tr>
        <w:trPr>
          <w:trHeight w:val="237"/>
        </w:trPr>
        <w:tc>
          <w:tcPr>
            <w:tcW w:w="79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257,121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231,465</w:t>
            </w:r>
          </w:p>
        </w:tc>
        <w:tc>
          <w:tcPr>
            <w:tcW w:w="0" w:type="dxa"/>
            <w:vAlign w:val="bottom"/>
          </w:tcPr>
          <w:p>
            <w:pPr>
              <w:spacing w:after="0"/>
              <w:rPr>
                <w:sz w:val="1"/>
                <w:szCs w:val="1"/>
                <w:color w:val="auto"/>
              </w:rPr>
            </w:pPr>
          </w:p>
        </w:tc>
      </w:tr>
      <w:tr>
        <w:trPr>
          <w:trHeight w:val="243"/>
        </w:trPr>
        <w:tc>
          <w:tcPr>
            <w:tcW w:w="7920" w:type="dxa"/>
            <w:vAlign w:val="bottom"/>
          </w:tcPr>
          <w:p>
            <w:pPr>
              <w:ind w:left="360"/>
              <w:spacing w:after="0"/>
              <w:rPr>
                <w:sz w:val="20"/>
                <w:szCs w:val="20"/>
                <w:color w:val="auto"/>
              </w:rPr>
            </w:pPr>
            <w:r>
              <w:rPr>
                <w:rFonts w:ascii="Arial" w:cs="Arial" w:eastAsia="Arial" w:hAnsi="Arial"/>
                <w:sz w:val="18"/>
                <w:szCs w:val="18"/>
                <w:color w:val="auto"/>
              </w:rPr>
              <w:t>Property, plant, and equipment</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509,360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489,662</w:t>
            </w:r>
          </w:p>
        </w:tc>
        <w:tc>
          <w:tcPr>
            <w:tcW w:w="0" w:type="dxa"/>
            <w:vAlign w:val="bottom"/>
          </w:tcPr>
          <w:p>
            <w:pPr>
              <w:spacing w:after="0"/>
              <w:rPr>
                <w:sz w:val="1"/>
                <w:szCs w:val="1"/>
                <w:color w:val="auto"/>
              </w:rPr>
            </w:pPr>
          </w:p>
        </w:tc>
      </w:tr>
      <w:tr>
        <w:trPr>
          <w:trHeight w:val="243"/>
        </w:trPr>
        <w:tc>
          <w:tcPr>
            <w:tcW w:w="7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accumulated depreciation</w:t>
            </w:r>
          </w:p>
        </w:tc>
        <w:tc>
          <w:tcPr>
            <w:tcW w:w="1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237,614</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223,406</w:t>
            </w:r>
          </w:p>
        </w:tc>
        <w:tc>
          <w:tcPr>
            <w:tcW w:w="0" w:type="dxa"/>
            <w:vAlign w:val="bottom"/>
          </w:tcPr>
          <w:p>
            <w:pPr>
              <w:spacing w:after="0"/>
              <w:rPr>
                <w:sz w:val="1"/>
                <w:szCs w:val="1"/>
                <w:color w:val="auto"/>
              </w:rPr>
            </w:pPr>
          </w:p>
        </w:tc>
      </w:tr>
      <w:tr>
        <w:trPr>
          <w:trHeight w:val="237"/>
        </w:trPr>
        <w:tc>
          <w:tcPr>
            <w:tcW w:w="7920" w:type="dxa"/>
            <w:vAlign w:val="bottom"/>
          </w:tcPr>
          <w:p>
            <w:pPr>
              <w:ind w:left="800"/>
              <w:spacing w:after="0"/>
              <w:rPr>
                <w:sz w:val="20"/>
                <w:szCs w:val="20"/>
                <w:color w:val="auto"/>
              </w:rPr>
            </w:pPr>
            <w:r>
              <w:rPr>
                <w:rFonts w:ascii="Arial" w:cs="Arial" w:eastAsia="Arial" w:hAnsi="Arial"/>
                <w:sz w:val="18"/>
                <w:szCs w:val="18"/>
                <w:color w:val="auto"/>
              </w:rPr>
              <w:t>Net property, plant, and equipment</w:t>
            </w: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271,746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266,256</w:t>
            </w:r>
          </w:p>
        </w:tc>
        <w:tc>
          <w:tcPr>
            <w:tcW w:w="0" w:type="dxa"/>
            <w:vAlign w:val="bottom"/>
          </w:tcPr>
          <w:p>
            <w:pPr>
              <w:spacing w:after="0"/>
              <w:rPr>
                <w:sz w:val="1"/>
                <w:szCs w:val="1"/>
                <w:color w:val="auto"/>
              </w:rPr>
            </w:pPr>
          </w:p>
        </w:tc>
      </w:tr>
      <w:tr>
        <w:trPr>
          <w:trHeight w:val="243"/>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20" w:type="dxa"/>
            <w:vAlign w:val="bottom"/>
          </w:tcPr>
          <w:p>
            <w:pPr>
              <w:ind w:left="360"/>
              <w:spacing w:after="0"/>
              <w:rPr>
                <w:sz w:val="20"/>
                <w:szCs w:val="20"/>
                <w:color w:val="auto"/>
              </w:rPr>
            </w:pPr>
            <w:r>
              <w:rPr>
                <w:rFonts w:ascii="Arial" w:cs="Arial" w:eastAsia="Arial" w:hAnsi="Arial"/>
                <w:sz w:val="18"/>
                <w:szCs w:val="18"/>
                <w:color w:val="auto"/>
              </w:rPr>
              <w:t>Right-of-use assets, net</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17,170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16,840</w:t>
            </w:r>
          </w:p>
        </w:tc>
        <w:tc>
          <w:tcPr>
            <w:tcW w:w="0" w:type="dxa"/>
            <w:vAlign w:val="bottom"/>
          </w:tcPr>
          <w:p>
            <w:pPr>
              <w:spacing w:after="0"/>
              <w:rPr>
                <w:sz w:val="1"/>
                <w:szCs w:val="1"/>
                <w:color w:val="auto"/>
              </w:rPr>
            </w:pPr>
          </w:p>
        </w:tc>
      </w:tr>
      <w:tr>
        <w:trPr>
          <w:trHeight w:val="243"/>
        </w:trPr>
        <w:tc>
          <w:tcPr>
            <w:tcW w:w="7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224,439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223,042</w:t>
            </w:r>
          </w:p>
        </w:tc>
        <w:tc>
          <w:tcPr>
            <w:tcW w:w="0" w:type="dxa"/>
            <w:vAlign w:val="bottom"/>
          </w:tcPr>
          <w:p>
            <w:pPr>
              <w:spacing w:after="0"/>
              <w:rPr>
                <w:sz w:val="1"/>
                <w:szCs w:val="1"/>
                <w:color w:val="auto"/>
              </w:rPr>
            </w:pPr>
          </w:p>
        </w:tc>
      </w:tr>
      <w:tr>
        <w:trPr>
          <w:trHeight w:val="243"/>
        </w:trPr>
        <w:tc>
          <w:tcPr>
            <w:tcW w:w="7920" w:type="dxa"/>
            <w:vAlign w:val="bottom"/>
          </w:tcPr>
          <w:p>
            <w:pPr>
              <w:ind w:left="360"/>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224,455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232,887</w:t>
            </w:r>
          </w:p>
        </w:tc>
        <w:tc>
          <w:tcPr>
            <w:tcW w:w="0" w:type="dxa"/>
            <w:vAlign w:val="bottom"/>
          </w:tcPr>
          <w:p>
            <w:pPr>
              <w:spacing w:after="0"/>
              <w:rPr>
                <w:sz w:val="1"/>
                <w:szCs w:val="1"/>
                <w:color w:val="auto"/>
              </w:rPr>
            </w:pPr>
          </w:p>
        </w:tc>
      </w:tr>
      <w:tr>
        <w:trPr>
          <w:trHeight w:val="243"/>
        </w:trPr>
        <w:tc>
          <w:tcPr>
            <w:tcW w:w="7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compensation plan asset</w:t>
            </w: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12,812</w:t>
            </w:r>
          </w:p>
        </w:tc>
        <w:tc>
          <w:tcPr>
            <w:tcW w:w="0" w:type="dxa"/>
            <w:vAlign w:val="bottom"/>
          </w:tcPr>
          <w:p>
            <w:pPr>
              <w:spacing w:after="0"/>
              <w:rPr>
                <w:sz w:val="1"/>
                <w:szCs w:val="1"/>
                <w:color w:val="auto"/>
              </w:rPr>
            </w:pPr>
          </w:p>
        </w:tc>
      </w:tr>
      <w:tr>
        <w:trPr>
          <w:trHeight w:val="243"/>
        </w:trPr>
        <w:tc>
          <w:tcPr>
            <w:tcW w:w="79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2,988</w:t>
            </w:r>
          </w:p>
        </w:tc>
        <w:tc>
          <w:tcPr>
            <w:tcW w:w="0" w:type="dxa"/>
            <w:vAlign w:val="bottom"/>
          </w:tcPr>
          <w:p>
            <w:pPr>
              <w:spacing w:after="0"/>
              <w:rPr>
                <w:sz w:val="1"/>
                <w:szCs w:val="1"/>
                <w:color w:val="auto"/>
              </w:rPr>
            </w:pPr>
          </w:p>
        </w:tc>
      </w:tr>
      <w:tr>
        <w:trPr>
          <w:trHeight w:val="237"/>
        </w:trPr>
        <w:tc>
          <w:tcPr>
            <w:tcW w:w="79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other assets</w:t>
            </w:r>
          </w:p>
        </w:tc>
        <w:tc>
          <w:tcPr>
            <w:tcW w:w="14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483,185</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488,569</w:t>
            </w:r>
          </w:p>
        </w:tc>
        <w:tc>
          <w:tcPr>
            <w:tcW w:w="0" w:type="dxa"/>
            <w:vAlign w:val="bottom"/>
          </w:tcPr>
          <w:p>
            <w:pPr>
              <w:spacing w:after="0"/>
              <w:rPr>
                <w:sz w:val="1"/>
                <w:szCs w:val="1"/>
                <w:color w:val="auto"/>
              </w:rPr>
            </w:pPr>
          </w:p>
        </w:tc>
      </w:tr>
      <w:tr>
        <w:trPr>
          <w:trHeight w:val="237"/>
        </w:trPr>
        <w:tc>
          <w:tcPr>
            <w:tcW w:w="7920" w:type="dxa"/>
            <w:vAlign w:val="bottom"/>
          </w:tcPr>
          <w:p>
            <w:pPr>
              <w:ind w:left="80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1,012,052</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986,290</w:t>
            </w:r>
          </w:p>
        </w:tc>
        <w:tc>
          <w:tcPr>
            <w:tcW w:w="0" w:type="dxa"/>
            <w:vAlign w:val="bottom"/>
          </w:tcPr>
          <w:p>
            <w:pPr>
              <w:spacing w:after="0"/>
              <w:rPr>
                <w:sz w:val="1"/>
                <w:szCs w:val="1"/>
                <w:color w:val="auto"/>
              </w:rPr>
            </w:pPr>
          </w:p>
        </w:tc>
      </w:tr>
      <w:tr>
        <w:trPr>
          <w:trHeight w:val="20"/>
        </w:trPr>
        <w:tc>
          <w:tcPr>
            <w:tcW w:w="79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9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 trade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69,609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59,835</w:t>
            </w:r>
          </w:p>
        </w:tc>
        <w:tc>
          <w:tcPr>
            <w:tcW w:w="0" w:type="dxa"/>
            <w:vAlign w:val="bottom"/>
          </w:tcPr>
          <w:p>
            <w:pPr>
              <w:spacing w:after="0"/>
              <w:rPr>
                <w:sz w:val="1"/>
                <w:szCs w:val="1"/>
                <w:color w:val="auto"/>
              </w:rPr>
            </w:pPr>
          </w:p>
        </w:tc>
      </w:tr>
      <w:tr>
        <w:trPr>
          <w:trHeight w:val="243"/>
        </w:trPr>
        <w:tc>
          <w:tcPr>
            <w:tcW w:w="7920" w:type="dxa"/>
            <w:vAlign w:val="bottom"/>
          </w:tcPr>
          <w:p>
            <w:pPr>
              <w:ind w:left="360"/>
              <w:spacing w:after="0"/>
              <w:rPr>
                <w:sz w:val="20"/>
                <w:szCs w:val="20"/>
                <w:color w:val="auto"/>
              </w:rPr>
            </w:pPr>
            <w:r>
              <w:rPr>
                <w:rFonts w:ascii="Arial" w:cs="Arial" w:eastAsia="Arial" w:hAnsi="Arial"/>
                <w:sz w:val="18"/>
                <w:szCs w:val="18"/>
                <w:color w:val="auto"/>
              </w:rPr>
              <w:t>Accrued payroll and employee benefits</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15,746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20,092</w:t>
            </w:r>
          </w:p>
        </w:tc>
        <w:tc>
          <w:tcPr>
            <w:tcW w:w="0" w:type="dxa"/>
            <w:vAlign w:val="bottom"/>
          </w:tcPr>
          <w:p>
            <w:pPr>
              <w:spacing w:after="0"/>
              <w:rPr>
                <w:sz w:val="1"/>
                <w:szCs w:val="1"/>
                <w:color w:val="auto"/>
              </w:rPr>
            </w:pPr>
          </w:p>
        </w:tc>
      </w:tr>
      <w:tr>
        <w:trPr>
          <w:trHeight w:val="243"/>
        </w:trPr>
        <w:tc>
          <w:tcPr>
            <w:tcW w:w="7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payable</w:t>
            </w: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43"/>
        </w:trPr>
        <w:tc>
          <w:tcPr>
            <w:tcW w:w="7920" w:type="dxa"/>
            <w:vAlign w:val="bottom"/>
          </w:tcPr>
          <w:p>
            <w:pPr>
              <w:ind w:left="360"/>
              <w:spacing w:after="0"/>
              <w:rPr>
                <w:sz w:val="20"/>
                <w:szCs w:val="20"/>
                <w:color w:val="auto"/>
              </w:rPr>
            </w:pPr>
            <w:r>
              <w:rPr>
                <w:rFonts w:ascii="Arial" w:cs="Arial" w:eastAsia="Arial" w:hAnsi="Arial"/>
                <w:sz w:val="18"/>
                <w:szCs w:val="18"/>
                <w:color w:val="auto"/>
              </w:rPr>
              <w:t>Environmental remediation</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7,700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7,700</w:t>
            </w:r>
          </w:p>
        </w:tc>
        <w:tc>
          <w:tcPr>
            <w:tcW w:w="0" w:type="dxa"/>
            <w:vAlign w:val="bottom"/>
          </w:tcPr>
          <w:p>
            <w:pPr>
              <w:spacing w:after="0"/>
              <w:rPr>
                <w:sz w:val="1"/>
                <w:szCs w:val="1"/>
                <w:color w:val="auto"/>
              </w:rPr>
            </w:pPr>
          </w:p>
        </w:tc>
      </w:tr>
      <w:tr>
        <w:trPr>
          <w:trHeight w:val="243"/>
        </w:trPr>
        <w:tc>
          <w:tcPr>
            <w:tcW w:w="7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 (Note 8)</w:t>
            </w:r>
          </w:p>
        </w:tc>
        <w:tc>
          <w:tcPr>
            <w:tcW w:w="1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14,676</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17,119</w:t>
            </w:r>
          </w:p>
        </w:tc>
        <w:tc>
          <w:tcPr>
            <w:tcW w:w="0" w:type="dxa"/>
            <w:vAlign w:val="bottom"/>
          </w:tcPr>
          <w:p>
            <w:pPr>
              <w:spacing w:after="0"/>
              <w:rPr>
                <w:sz w:val="1"/>
                <w:szCs w:val="1"/>
                <w:color w:val="auto"/>
              </w:rPr>
            </w:pPr>
          </w:p>
        </w:tc>
      </w:tr>
      <w:tr>
        <w:trPr>
          <w:trHeight w:val="237"/>
        </w:trPr>
        <w:tc>
          <w:tcPr>
            <w:tcW w:w="7920" w:type="dxa"/>
            <w:vAlign w:val="bottom"/>
          </w:tcPr>
          <w:p>
            <w:pPr>
              <w:ind w:left="80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112,756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104,844</w:t>
            </w:r>
          </w:p>
        </w:tc>
        <w:tc>
          <w:tcPr>
            <w:tcW w:w="0" w:type="dxa"/>
            <w:vAlign w:val="bottom"/>
          </w:tcPr>
          <w:p>
            <w:pPr>
              <w:spacing w:after="0"/>
              <w:rPr>
                <w:sz w:val="1"/>
                <w:szCs w:val="1"/>
                <w:color w:val="auto"/>
              </w:rPr>
            </w:pPr>
          </w:p>
        </w:tc>
      </w:tr>
      <w:tr>
        <w:trPr>
          <w:trHeight w:val="243"/>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LIABILITIES:</w:t>
            </w: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20" w:type="dxa"/>
            <w:vAlign w:val="bottom"/>
          </w:tcPr>
          <w:p>
            <w:pPr>
              <w:ind w:left="360"/>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229,000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244,000</w:t>
            </w:r>
          </w:p>
        </w:tc>
        <w:tc>
          <w:tcPr>
            <w:tcW w:w="0" w:type="dxa"/>
            <w:vAlign w:val="bottom"/>
          </w:tcPr>
          <w:p>
            <w:pPr>
              <w:spacing w:after="0"/>
              <w:rPr>
                <w:sz w:val="1"/>
                <w:szCs w:val="1"/>
                <w:color w:val="auto"/>
              </w:rPr>
            </w:pPr>
          </w:p>
        </w:tc>
      </w:tr>
      <w:tr>
        <w:trPr>
          <w:trHeight w:val="243"/>
        </w:trPr>
        <w:tc>
          <w:tcPr>
            <w:tcW w:w="7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lease liabilities</w:t>
            </w: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14,457</w:t>
            </w:r>
          </w:p>
        </w:tc>
        <w:tc>
          <w:tcPr>
            <w:tcW w:w="0" w:type="dxa"/>
            <w:vAlign w:val="bottom"/>
          </w:tcPr>
          <w:p>
            <w:pPr>
              <w:spacing w:after="0"/>
              <w:rPr>
                <w:sz w:val="1"/>
                <w:szCs w:val="1"/>
                <w:color w:val="auto"/>
              </w:rPr>
            </w:pPr>
          </w:p>
        </w:tc>
      </w:tr>
      <w:tr>
        <w:trPr>
          <w:trHeight w:val="243"/>
        </w:trPr>
        <w:tc>
          <w:tcPr>
            <w:tcW w:w="7920" w:type="dxa"/>
            <w:vAlign w:val="bottom"/>
          </w:tcPr>
          <w:p>
            <w:pPr>
              <w:ind w:left="360"/>
              <w:spacing w:after="0"/>
              <w:rPr>
                <w:sz w:val="20"/>
                <w:szCs w:val="20"/>
                <w:color w:val="auto"/>
              </w:rPr>
            </w:pPr>
            <w:r>
              <w:rPr>
                <w:rFonts w:ascii="Arial" w:cs="Arial" w:eastAsia="Arial" w:hAnsi="Arial"/>
                <w:sz w:val="18"/>
                <w:szCs w:val="18"/>
                <w:color w:val="auto"/>
              </w:rPr>
              <w:t>Pension withdrawal liability</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2,763</w:t>
            </w:r>
          </w:p>
        </w:tc>
        <w:tc>
          <w:tcPr>
            <w:tcW w:w="0" w:type="dxa"/>
            <w:vAlign w:val="bottom"/>
          </w:tcPr>
          <w:p>
            <w:pPr>
              <w:spacing w:after="0"/>
              <w:rPr>
                <w:sz w:val="1"/>
                <w:szCs w:val="1"/>
                <w:color w:val="auto"/>
              </w:rPr>
            </w:pPr>
          </w:p>
        </w:tc>
      </w:tr>
      <w:tr>
        <w:trPr>
          <w:trHeight w:val="243"/>
        </w:trPr>
        <w:tc>
          <w:tcPr>
            <w:tcW w:w="7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26,143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25,110</w:t>
            </w:r>
          </w:p>
        </w:tc>
        <w:tc>
          <w:tcPr>
            <w:tcW w:w="0" w:type="dxa"/>
            <w:vAlign w:val="bottom"/>
          </w:tcPr>
          <w:p>
            <w:pPr>
              <w:spacing w:after="0"/>
              <w:rPr>
                <w:sz w:val="1"/>
                <w:szCs w:val="1"/>
                <w:color w:val="auto"/>
              </w:rPr>
            </w:pPr>
          </w:p>
        </w:tc>
      </w:tr>
      <w:tr>
        <w:trPr>
          <w:trHeight w:val="243"/>
        </w:trPr>
        <w:tc>
          <w:tcPr>
            <w:tcW w:w="7920" w:type="dxa"/>
            <w:vAlign w:val="bottom"/>
          </w:tcPr>
          <w:p>
            <w:pPr>
              <w:ind w:left="360"/>
              <w:spacing w:after="0"/>
              <w:rPr>
                <w:sz w:val="20"/>
                <w:szCs w:val="20"/>
                <w:color w:val="auto"/>
              </w:rPr>
            </w:pPr>
            <w:r>
              <w:rPr>
                <w:rFonts w:ascii="Arial" w:cs="Arial" w:eastAsia="Arial" w:hAnsi="Arial"/>
                <w:sz w:val="18"/>
                <w:szCs w:val="18"/>
                <w:color w:val="auto"/>
              </w:rPr>
              <w:t>Deferred compensation liability</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16,941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14,850</w:t>
            </w:r>
          </w:p>
        </w:tc>
        <w:tc>
          <w:tcPr>
            <w:tcW w:w="0" w:type="dxa"/>
            <w:vAlign w:val="bottom"/>
          </w:tcPr>
          <w:p>
            <w:pPr>
              <w:spacing w:after="0"/>
              <w:rPr>
                <w:sz w:val="1"/>
                <w:szCs w:val="1"/>
                <w:color w:val="auto"/>
              </w:rPr>
            </w:pPr>
          </w:p>
        </w:tc>
      </w:tr>
      <w:tr>
        <w:trPr>
          <w:trHeight w:val="243"/>
        </w:trPr>
        <w:tc>
          <w:tcPr>
            <w:tcW w:w="7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Earnout liabilities</w:t>
            </w: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45,985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44,898</w:t>
            </w:r>
          </w:p>
        </w:tc>
        <w:tc>
          <w:tcPr>
            <w:tcW w:w="0" w:type="dxa"/>
            <w:vAlign w:val="bottom"/>
          </w:tcPr>
          <w:p>
            <w:pPr>
              <w:spacing w:after="0"/>
              <w:rPr>
                <w:sz w:val="1"/>
                <w:szCs w:val="1"/>
                <w:color w:val="auto"/>
              </w:rPr>
            </w:pPr>
          </w:p>
        </w:tc>
      </w:tr>
      <w:tr>
        <w:trPr>
          <w:trHeight w:val="243"/>
        </w:trPr>
        <w:tc>
          <w:tcPr>
            <w:tcW w:w="79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37"/>
        </w:trPr>
        <w:tc>
          <w:tcPr>
            <w:tcW w:w="79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long-term liabilities</w:t>
            </w:r>
          </w:p>
        </w:tc>
        <w:tc>
          <w:tcPr>
            <w:tcW w:w="14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335,607</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347,437</w:t>
            </w:r>
          </w:p>
        </w:tc>
        <w:tc>
          <w:tcPr>
            <w:tcW w:w="0" w:type="dxa"/>
            <w:vAlign w:val="bottom"/>
          </w:tcPr>
          <w:p>
            <w:pPr>
              <w:spacing w:after="0"/>
              <w:rPr>
                <w:sz w:val="1"/>
                <w:szCs w:val="1"/>
                <w:color w:val="auto"/>
              </w:rPr>
            </w:pPr>
          </w:p>
        </w:tc>
      </w:tr>
      <w:tr>
        <w:trPr>
          <w:trHeight w:val="236"/>
        </w:trPr>
        <w:tc>
          <w:tcPr>
            <w:tcW w:w="7920" w:type="dxa"/>
            <w:vAlign w:val="bottom"/>
          </w:tcPr>
          <w:p>
            <w:pPr>
              <w:ind w:left="80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448,363</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452,281</w:t>
            </w:r>
          </w:p>
        </w:tc>
        <w:tc>
          <w:tcPr>
            <w:tcW w:w="0" w:type="dxa"/>
            <w:vAlign w:val="bottom"/>
          </w:tcPr>
          <w:p>
            <w:pPr>
              <w:spacing w:after="0"/>
              <w:rPr>
                <w:sz w:val="1"/>
                <w:szCs w:val="1"/>
                <w:color w:val="auto"/>
              </w:rPr>
            </w:pPr>
          </w:p>
        </w:tc>
      </w:tr>
      <w:tr>
        <w:trPr>
          <w:trHeight w:val="20"/>
        </w:trPr>
        <w:tc>
          <w:tcPr>
            <w:tcW w:w="79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92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7920" w:type="dxa"/>
            <w:vAlign w:val="bottom"/>
            <w:shd w:val="clear" w:color="auto" w:fill="CCEEFF"/>
          </w:tcPr>
          <w:p>
            <w:pPr>
              <w:ind w:left="360"/>
              <w:spacing w:after="0" w:line="189" w:lineRule="exact"/>
              <w:rPr>
                <w:sz w:val="20"/>
                <w:szCs w:val="20"/>
                <w:color w:val="auto"/>
              </w:rPr>
            </w:pPr>
            <w:r>
              <w:rPr>
                <w:rFonts w:ascii="Arial" w:cs="Arial" w:eastAsia="Arial" w:hAnsi="Arial"/>
                <w:sz w:val="18"/>
                <w:szCs w:val="18"/>
                <w:color w:val="auto"/>
              </w:rPr>
              <w:t>Common stock; authorized: 60,000,000 shares of $0.01 par value; 20,674,812 and</w:t>
            </w: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92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20,752,138 shares issued and outstanding as of September 27, 2026 and March 29,</w:t>
            </w:r>
          </w:p>
        </w:tc>
        <w:tc>
          <w:tcPr>
            <w:tcW w:w="14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43"/>
        </w:trPr>
        <w:tc>
          <w:tcPr>
            <w:tcW w:w="7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2026, respectively</w:t>
            </w:r>
          </w:p>
        </w:tc>
        <w:tc>
          <w:tcPr>
            <w:tcW w:w="140" w:type="dxa"/>
            <w:vAlign w:val="bottom"/>
            <w:shd w:val="clear" w:color="auto" w:fill="CCEEFF"/>
          </w:tcPr>
          <w:p>
            <w:pPr>
              <w:spacing w:after="0"/>
              <w:rPr>
                <w:sz w:val="21"/>
                <w:szCs w:val="21"/>
                <w:color w:val="auto"/>
              </w:rPr>
            </w:pPr>
          </w:p>
        </w:tc>
        <w:tc>
          <w:tcPr>
            <w:tcW w:w="14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2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14,739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32,678</w:t>
            </w:r>
          </w:p>
        </w:tc>
        <w:tc>
          <w:tcPr>
            <w:tcW w:w="0" w:type="dxa"/>
            <w:vAlign w:val="bottom"/>
          </w:tcPr>
          <w:p>
            <w:pPr>
              <w:spacing w:after="0"/>
              <w:rPr>
                <w:sz w:val="1"/>
                <w:szCs w:val="1"/>
                <w:color w:val="auto"/>
              </w:rPr>
            </w:pPr>
          </w:p>
        </w:tc>
      </w:tr>
      <w:tr>
        <w:trPr>
          <w:trHeight w:val="243"/>
        </w:trPr>
        <w:tc>
          <w:tcPr>
            <w:tcW w:w="7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548,041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500,142</w:t>
            </w:r>
          </w:p>
        </w:tc>
        <w:tc>
          <w:tcPr>
            <w:tcW w:w="0" w:type="dxa"/>
            <w:vAlign w:val="bottom"/>
          </w:tcPr>
          <w:p>
            <w:pPr>
              <w:spacing w:after="0"/>
              <w:rPr>
                <w:sz w:val="1"/>
                <w:szCs w:val="1"/>
                <w:color w:val="auto"/>
              </w:rPr>
            </w:pPr>
          </w:p>
        </w:tc>
      </w:tr>
      <w:tr>
        <w:trPr>
          <w:trHeight w:val="243"/>
        </w:trPr>
        <w:tc>
          <w:tcPr>
            <w:tcW w:w="79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36"/>
        </w:trPr>
        <w:tc>
          <w:tcPr>
            <w:tcW w:w="79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563,689</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534,009</w:t>
            </w:r>
          </w:p>
        </w:tc>
        <w:tc>
          <w:tcPr>
            <w:tcW w:w="0" w:type="dxa"/>
            <w:vAlign w:val="bottom"/>
          </w:tcPr>
          <w:p>
            <w:pPr>
              <w:spacing w:after="0"/>
              <w:rPr>
                <w:sz w:val="1"/>
                <w:szCs w:val="1"/>
                <w:color w:val="auto"/>
              </w:rPr>
            </w:pPr>
          </w:p>
        </w:tc>
      </w:tr>
      <w:tr>
        <w:trPr>
          <w:trHeight w:val="236"/>
        </w:trPr>
        <w:tc>
          <w:tcPr>
            <w:tcW w:w="7920" w:type="dxa"/>
            <w:vAlign w:val="bottom"/>
          </w:tcPr>
          <w:p>
            <w:pPr>
              <w:ind w:left="800"/>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1,012,052</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986,290</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100"/>
          </w:cols>
          <w:pgMar w:left="320" w:top="607" w:right="479" w:bottom="1440" w:gutter="0" w:footer="0" w:header="0"/>
        </w:sectPr>
      </w:pPr>
    </w:p>
    <w:p>
      <w:pPr>
        <w:spacing w:after="0" w:line="279"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607" w:right="47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and per-share data)</w:t>
      </w:r>
    </w:p>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48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b w:val="1"/>
                <w:bCs w:val="1"/>
                <w:color w:val="auto"/>
              </w:rPr>
              <w:t>Six months ended</w:t>
            </w:r>
          </w:p>
        </w:tc>
      </w:tr>
      <w:tr>
        <w:trPr>
          <w:trHeight w:val="183"/>
        </w:trPr>
        <w:tc>
          <w:tcPr>
            <w:tcW w:w="4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September 27,</w:t>
            </w:r>
          </w:p>
        </w:tc>
        <w:tc>
          <w:tcPr>
            <w:tcW w:w="140" w:type="dxa"/>
            <w:vAlign w:val="bottom"/>
          </w:tcPr>
          <w:p>
            <w:pPr>
              <w:spacing w:after="0"/>
              <w:rPr>
                <w:sz w:val="15"/>
                <w:szCs w:val="15"/>
                <w:color w:val="auto"/>
              </w:rPr>
            </w:pPr>
          </w:p>
        </w:tc>
        <w:tc>
          <w:tcPr>
            <w:tcW w:w="146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September 28,</w:t>
            </w:r>
          </w:p>
        </w:tc>
        <w:tc>
          <w:tcPr>
            <w:tcW w:w="120" w:type="dxa"/>
            <w:vAlign w:val="bottom"/>
          </w:tcPr>
          <w:p>
            <w:pPr>
              <w:spacing w:after="0"/>
              <w:rPr>
                <w:sz w:val="15"/>
                <w:szCs w:val="15"/>
                <w:color w:val="auto"/>
              </w:rPr>
            </w:pPr>
          </w:p>
        </w:tc>
        <w:tc>
          <w:tcPr>
            <w:tcW w:w="1480" w:type="dxa"/>
            <w:vAlign w:val="bottom"/>
            <w:gridSpan w:val="2"/>
          </w:tcPr>
          <w:p>
            <w:pPr>
              <w:ind w:left="20"/>
              <w:spacing w:after="0" w:line="182" w:lineRule="exact"/>
              <w:rPr>
                <w:sz w:val="20"/>
                <w:szCs w:val="20"/>
                <w:color w:val="auto"/>
              </w:rPr>
            </w:pPr>
            <w:r>
              <w:rPr>
                <w:rFonts w:ascii="Arial" w:cs="Arial" w:eastAsia="Arial" w:hAnsi="Arial"/>
                <w:sz w:val="18"/>
                <w:szCs w:val="18"/>
                <w:b w:val="1"/>
                <w:bCs w:val="1"/>
                <w:color w:val="auto"/>
              </w:rPr>
              <w:t>September 27,</w:t>
            </w:r>
          </w:p>
        </w:tc>
        <w:tc>
          <w:tcPr>
            <w:tcW w:w="120" w:type="dxa"/>
            <w:vAlign w:val="bottom"/>
          </w:tcPr>
          <w:p>
            <w:pPr>
              <w:spacing w:after="0"/>
              <w:rPr>
                <w:sz w:val="15"/>
                <w:szCs w:val="15"/>
                <w:color w:val="auto"/>
              </w:rPr>
            </w:pPr>
          </w:p>
        </w:tc>
        <w:tc>
          <w:tcPr>
            <w:tcW w:w="1360" w:type="dxa"/>
            <w:vAlign w:val="bottom"/>
          </w:tcPr>
          <w:p>
            <w:pPr>
              <w:jc w:val="right"/>
              <w:ind w:right="30"/>
              <w:spacing w:after="0" w:line="182" w:lineRule="exact"/>
              <w:rPr>
                <w:sz w:val="20"/>
                <w:szCs w:val="20"/>
                <w:color w:val="auto"/>
              </w:rPr>
            </w:pPr>
            <w:r>
              <w:rPr>
                <w:rFonts w:ascii="Arial" w:cs="Arial" w:eastAsia="Arial" w:hAnsi="Arial"/>
                <w:sz w:val="18"/>
                <w:szCs w:val="18"/>
                <w:b w:val="1"/>
                <w:bCs w:val="1"/>
                <w:color w:val="auto"/>
                <w:w w:val="99"/>
              </w:rPr>
              <w:t>September 28,</w:t>
            </w:r>
          </w:p>
        </w:tc>
      </w:tr>
      <w:tr>
        <w:trPr>
          <w:trHeight w:val="243"/>
        </w:trPr>
        <w:tc>
          <w:tcPr>
            <w:tcW w:w="48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2026</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2025</w:t>
            </w:r>
          </w:p>
        </w:tc>
      </w:tr>
      <w:tr>
        <w:trPr>
          <w:trHeight w:val="237"/>
        </w:trPr>
        <w:tc>
          <w:tcPr>
            <w:tcW w:w="4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313,817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280,434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629,492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573,706</w:t>
            </w:r>
          </w:p>
        </w:tc>
      </w:tr>
      <w:tr>
        <w:trPr>
          <w:trHeight w:val="243"/>
        </w:trPr>
        <w:tc>
          <w:tcPr>
            <w:tcW w:w="4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sales</w:t>
            </w: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(237,211)</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(212,791)</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(478,879)</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(433,701)</w:t>
            </w:r>
          </w:p>
        </w:tc>
      </w:tr>
      <w:tr>
        <w:trPr>
          <w:trHeight w:val="237"/>
        </w:trPr>
        <w:tc>
          <w:tcPr>
            <w:tcW w:w="4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76,606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67,643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150,613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140,005</w:t>
            </w:r>
          </w:p>
        </w:tc>
      </w:tr>
      <w:tr>
        <w:trPr>
          <w:trHeight w:val="243"/>
        </w:trPr>
        <w:tc>
          <w:tcPr>
            <w:tcW w:w="4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(34,700)</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(33,703)</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(70,035)</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(64,732)</w:t>
            </w:r>
          </w:p>
        </w:tc>
      </w:tr>
      <w:tr>
        <w:trPr>
          <w:trHeight w:val="237"/>
        </w:trPr>
        <w:tc>
          <w:tcPr>
            <w:tcW w:w="4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41,906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33,940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80,578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75,273</w:t>
            </w: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(7,101)</w:t>
            </w:r>
          </w:p>
        </w:tc>
      </w:tr>
      <w:tr>
        <w:trPr>
          <w:trHeight w:val="243"/>
        </w:trPr>
        <w:tc>
          <w:tcPr>
            <w:tcW w:w="4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1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w:t>
            </w:r>
          </w:p>
        </w:tc>
      </w:tr>
      <w:tr>
        <w:trPr>
          <w:trHeight w:val="236"/>
        </w:trPr>
        <w:tc>
          <w:tcPr>
            <w:tcW w:w="48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39,527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30,829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76,851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69,835</w:t>
            </w:r>
          </w:p>
        </w:tc>
      </w:tr>
      <w:tr>
        <w:trPr>
          <w:trHeight w:val="243"/>
        </w:trPr>
        <w:tc>
          <w:tcPr>
            <w:tcW w:w="4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(11,746)</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(8,231)</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(20,816)</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(18,062)</w:t>
            </w:r>
          </w:p>
        </w:tc>
      </w:tr>
      <w:tr>
        <w:trPr>
          <w:trHeight w:val="237"/>
        </w:trPr>
        <w:tc>
          <w:tcPr>
            <w:tcW w:w="48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27,781</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22,598</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56,035</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51,773</w:t>
            </w: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7"/>
        </w:trPr>
        <w:tc>
          <w:tcPr>
            <w:tcW w:w="4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Weighted average number of shares outstanding - basic</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20,710,228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20,737,743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20,743,855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20,727,614</w:t>
            </w:r>
          </w:p>
        </w:tc>
      </w:tr>
      <w:tr>
        <w:trPr>
          <w:trHeight w:val="243"/>
        </w:trPr>
        <w:tc>
          <w:tcPr>
            <w:tcW w:w="4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number of shares outstanding - diluted</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20,783,044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20,845,744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20,827,219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20,837,595</w:t>
            </w:r>
          </w:p>
        </w:tc>
      </w:tr>
      <w:tr>
        <w:trPr>
          <w:trHeight w:val="270"/>
        </w:trPr>
        <w:tc>
          <w:tcPr>
            <w:tcW w:w="4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43"/>
        </w:trPr>
        <w:tc>
          <w:tcPr>
            <w:tcW w:w="4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270"/>
        </w:trPr>
        <w:tc>
          <w:tcPr>
            <w:tcW w:w="4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47"/>
        </w:trPr>
        <w:tc>
          <w:tcPr>
            <w:tcW w:w="4860" w:type="dxa"/>
            <w:vAlign w:val="bottom"/>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0.37</w:t>
            </w:r>
          </w:p>
        </w:tc>
      </w:tr>
    </w:tbl>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07" w:right="41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48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b w:val="1"/>
                <w:bCs w:val="1"/>
                <w:color w:val="auto"/>
              </w:rPr>
              <w:t>Six months ended</w:t>
            </w:r>
          </w:p>
        </w:tc>
      </w:tr>
      <w:tr>
        <w:trPr>
          <w:trHeight w:val="183"/>
        </w:trPr>
        <w:tc>
          <w:tcPr>
            <w:tcW w:w="4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September 27,</w:t>
            </w:r>
          </w:p>
        </w:tc>
        <w:tc>
          <w:tcPr>
            <w:tcW w:w="140" w:type="dxa"/>
            <w:vAlign w:val="bottom"/>
          </w:tcPr>
          <w:p>
            <w:pPr>
              <w:spacing w:after="0"/>
              <w:rPr>
                <w:sz w:val="15"/>
                <w:szCs w:val="15"/>
                <w:color w:val="auto"/>
              </w:rPr>
            </w:pPr>
          </w:p>
        </w:tc>
        <w:tc>
          <w:tcPr>
            <w:tcW w:w="146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September 28,</w:t>
            </w:r>
          </w:p>
        </w:tc>
        <w:tc>
          <w:tcPr>
            <w:tcW w:w="120" w:type="dxa"/>
            <w:vAlign w:val="bottom"/>
          </w:tcPr>
          <w:p>
            <w:pPr>
              <w:spacing w:after="0"/>
              <w:rPr>
                <w:sz w:val="15"/>
                <w:szCs w:val="15"/>
                <w:color w:val="auto"/>
              </w:rPr>
            </w:pPr>
          </w:p>
        </w:tc>
        <w:tc>
          <w:tcPr>
            <w:tcW w:w="1480" w:type="dxa"/>
            <w:vAlign w:val="bottom"/>
            <w:gridSpan w:val="2"/>
          </w:tcPr>
          <w:p>
            <w:pPr>
              <w:ind w:left="20"/>
              <w:spacing w:after="0" w:line="182" w:lineRule="exact"/>
              <w:rPr>
                <w:sz w:val="20"/>
                <w:szCs w:val="20"/>
                <w:color w:val="auto"/>
              </w:rPr>
            </w:pPr>
            <w:r>
              <w:rPr>
                <w:rFonts w:ascii="Arial" w:cs="Arial" w:eastAsia="Arial" w:hAnsi="Arial"/>
                <w:sz w:val="18"/>
                <w:szCs w:val="18"/>
                <w:b w:val="1"/>
                <w:bCs w:val="1"/>
                <w:color w:val="auto"/>
              </w:rPr>
              <w:t>September 27,</w:t>
            </w:r>
          </w:p>
        </w:tc>
        <w:tc>
          <w:tcPr>
            <w:tcW w:w="120" w:type="dxa"/>
            <w:vAlign w:val="bottom"/>
          </w:tcPr>
          <w:p>
            <w:pPr>
              <w:spacing w:after="0"/>
              <w:rPr>
                <w:sz w:val="15"/>
                <w:szCs w:val="15"/>
                <w:color w:val="auto"/>
              </w:rPr>
            </w:pPr>
          </w:p>
        </w:tc>
        <w:tc>
          <w:tcPr>
            <w:tcW w:w="1360" w:type="dxa"/>
            <w:vAlign w:val="bottom"/>
          </w:tcPr>
          <w:p>
            <w:pPr>
              <w:jc w:val="right"/>
              <w:ind w:right="30"/>
              <w:spacing w:after="0" w:line="182" w:lineRule="exact"/>
              <w:rPr>
                <w:sz w:val="20"/>
                <w:szCs w:val="20"/>
                <w:color w:val="auto"/>
              </w:rPr>
            </w:pPr>
            <w:r>
              <w:rPr>
                <w:rFonts w:ascii="Arial" w:cs="Arial" w:eastAsia="Arial" w:hAnsi="Arial"/>
                <w:sz w:val="18"/>
                <w:szCs w:val="18"/>
                <w:b w:val="1"/>
                <w:bCs w:val="1"/>
                <w:color w:val="auto"/>
                <w:w w:val="99"/>
              </w:rPr>
              <w:t>September 28,</w:t>
            </w:r>
          </w:p>
        </w:tc>
      </w:tr>
      <w:tr>
        <w:trPr>
          <w:trHeight w:val="243"/>
        </w:trPr>
        <w:tc>
          <w:tcPr>
            <w:tcW w:w="48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2026</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2025</w:t>
            </w:r>
          </w:p>
        </w:tc>
      </w:tr>
      <w:tr>
        <w:trPr>
          <w:trHeight w:val="237"/>
        </w:trPr>
        <w:tc>
          <w:tcPr>
            <w:tcW w:w="4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27,781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56,035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51,773</w:t>
            </w: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Other comprehensive loss, net of tax:</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43"/>
        </w:trPr>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loss on interest rate swap</w:t>
            </w:r>
          </w:p>
        </w:tc>
        <w:tc>
          <w:tcPr>
            <w:tcW w:w="1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w:t>
            </w:r>
          </w:p>
        </w:tc>
      </w:tr>
      <w:tr>
        <w:trPr>
          <w:trHeight w:val="237"/>
        </w:trPr>
        <w:tc>
          <w:tcPr>
            <w:tcW w:w="486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27,661</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22,381</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55,756</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51,232</w:t>
            </w:r>
          </w:p>
        </w:tc>
      </w:tr>
      <w:tr>
        <w:trPr>
          <w:trHeight w:val="20"/>
        </w:trPr>
        <w:tc>
          <w:tcPr>
            <w:tcW w:w="4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07" w:right="41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SHAREHOLDERS’ EQUITY (UNAUDITED)</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data)</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Accumulated</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2440" w:type="dxa"/>
            <w:vAlign w:val="bottom"/>
            <w:gridSpan w:val="5"/>
          </w:tcPr>
          <w:p>
            <w:pPr>
              <w:ind w:left="560"/>
              <w:spacing w:after="0"/>
              <w:rPr>
                <w:sz w:val="20"/>
                <w:szCs w:val="20"/>
                <w:color w:val="auto"/>
              </w:rPr>
            </w:pPr>
            <w:r>
              <w:rPr>
                <w:rFonts w:ascii="Arial" w:cs="Arial" w:eastAsia="Arial" w:hAnsi="Arial"/>
                <w:sz w:val="16"/>
                <w:szCs w:val="16"/>
                <w:b w:val="1"/>
                <w:bCs w:val="1"/>
                <w:color w:val="auto"/>
              </w:rPr>
              <w:t>Common Stock</w:t>
            </w: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Additional</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Other</w:t>
            </w:r>
          </w:p>
        </w:tc>
        <w:tc>
          <w:tcPr>
            <w:tcW w:w="260" w:type="dxa"/>
            <w:vAlign w:val="bottom"/>
          </w:tcPr>
          <w:p>
            <w:pPr>
              <w:spacing w:after="0"/>
              <w:rPr>
                <w:sz w:val="18"/>
                <w:szCs w:val="18"/>
                <w:color w:val="auto"/>
              </w:rPr>
            </w:pPr>
          </w:p>
        </w:tc>
        <w:tc>
          <w:tcPr>
            <w:tcW w:w="1000" w:type="dxa"/>
            <w:vAlign w:val="bottom"/>
          </w:tcPr>
          <w:p>
            <w:pPr>
              <w:jc w:val="center"/>
              <w:ind w:right="171"/>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54"/>
        </w:trPr>
        <w:tc>
          <w:tcPr>
            <w:tcW w:w="354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gridSpan w:val="2"/>
            <w:vMerge w:val="restart"/>
          </w:tcPr>
          <w:p>
            <w:pPr>
              <w:jc w:val="center"/>
              <w:ind w:right="260"/>
              <w:spacing w:after="0" w:line="108" w:lineRule="exact"/>
              <w:rPr>
                <w:sz w:val="20"/>
                <w:szCs w:val="20"/>
                <w:color w:val="auto"/>
              </w:rPr>
            </w:pPr>
            <w:r>
              <w:rPr>
                <w:rFonts w:ascii="Arial" w:cs="Arial" w:eastAsia="Arial" w:hAnsi="Arial"/>
                <w:sz w:val="12"/>
                <w:szCs w:val="12"/>
                <w:b w:val="1"/>
                <w:bCs w:val="1"/>
                <w:color w:val="auto"/>
              </w:rPr>
              <w:t>Paid-in</w:t>
            </w:r>
          </w:p>
        </w:tc>
        <w:tc>
          <w:tcPr>
            <w:tcW w:w="160" w:type="dxa"/>
            <w:vAlign w:val="bottom"/>
          </w:tcPr>
          <w:p>
            <w:pPr>
              <w:spacing w:after="0"/>
              <w:rPr>
                <w:sz w:val="4"/>
                <w:szCs w:val="4"/>
                <w:color w:val="auto"/>
              </w:rPr>
            </w:pPr>
          </w:p>
        </w:tc>
        <w:tc>
          <w:tcPr>
            <w:tcW w:w="1040" w:type="dxa"/>
            <w:vAlign w:val="bottom"/>
            <w:gridSpan w:val="2"/>
            <w:vMerge w:val="restart"/>
          </w:tcPr>
          <w:p>
            <w:pPr>
              <w:ind w:left="40"/>
              <w:spacing w:after="0" w:line="108" w:lineRule="exact"/>
              <w:rPr>
                <w:sz w:val="20"/>
                <w:szCs w:val="20"/>
                <w:color w:val="auto"/>
              </w:rPr>
            </w:pPr>
            <w:r>
              <w:rPr>
                <w:rFonts w:ascii="Arial" w:cs="Arial" w:eastAsia="Arial" w:hAnsi="Arial"/>
                <w:sz w:val="12"/>
                <w:szCs w:val="12"/>
                <w:b w:val="1"/>
                <w:bCs w:val="1"/>
                <w:color w:val="auto"/>
              </w:rPr>
              <w:t>Retained</w:t>
            </w:r>
          </w:p>
        </w:tc>
        <w:tc>
          <w:tcPr>
            <w:tcW w:w="1520" w:type="dxa"/>
            <w:vAlign w:val="bottom"/>
            <w:gridSpan w:val="3"/>
            <w:vMerge w:val="restart"/>
          </w:tcPr>
          <w:p>
            <w:pPr>
              <w:jc w:val="center"/>
              <w:ind w:right="100"/>
              <w:spacing w:after="0" w:line="108" w:lineRule="exact"/>
              <w:rPr>
                <w:sz w:val="20"/>
                <w:szCs w:val="20"/>
                <w:color w:val="auto"/>
              </w:rPr>
            </w:pPr>
            <w:r>
              <w:rPr>
                <w:rFonts w:ascii="Arial" w:cs="Arial" w:eastAsia="Arial" w:hAnsi="Arial"/>
                <w:sz w:val="12"/>
                <w:szCs w:val="12"/>
                <w:b w:val="1"/>
                <w:bCs w:val="1"/>
                <w:color w:val="auto"/>
              </w:rPr>
              <w:t>Comprehensive</w:t>
            </w:r>
          </w:p>
        </w:tc>
        <w:tc>
          <w:tcPr>
            <w:tcW w:w="1260" w:type="dxa"/>
            <w:vAlign w:val="bottom"/>
            <w:gridSpan w:val="2"/>
            <w:vMerge w:val="restart"/>
          </w:tcPr>
          <w:p>
            <w:pPr>
              <w:jc w:val="center"/>
              <w:spacing w:after="0" w:line="108" w:lineRule="exact"/>
              <w:rPr>
                <w:sz w:val="20"/>
                <w:szCs w:val="20"/>
                <w:color w:val="auto"/>
              </w:rPr>
            </w:pPr>
            <w:r>
              <w:rPr>
                <w:rFonts w:ascii="Arial" w:cs="Arial" w:eastAsia="Arial" w:hAnsi="Arial"/>
                <w:sz w:val="12"/>
                <w:szCs w:val="12"/>
                <w:b w:val="1"/>
                <w:bCs w:val="1"/>
                <w:color w:val="auto"/>
              </w:rPr>
              <w:t>Shareholders’</w:t>
            </w:r>
          </w:p>
        </w:tc>
        <w:tc>
          <w:tcPr>
            <w:tcW w:w="0" w:type="dxa"/>
            <w:vAlign w:val="bottom"/>
          </w:tcPr>
          <w:p>
            <w:pPr>
              <w:spacing w:after="0"/>
              <w:rPr>
                <w:sz w:val="1"/>
                <w:szCs w:val="1"/>
                <w:color w:val="auto"/>
              </w:rPr>
            </w:pPr>
          </w:p>
        </w:tc>
      </w:tr>
      <w:tr>
        <w:trPr>
          <w:trHeight w:val="34"/>
        </w:trPr>
        <w:tc>
          <w:tcPr>
            <w:tcW w:w="3540" w:type="dxa"/>
            <w:vAlign w:val="bottom"/>
          </w:tcPr>
          <w:p>
            <w:pPr>
              <w:spacing w:after="0"/>
              <w:rPr>
                <w:sz w:val="2"/>
                <w:szCs w:val="2"/>
                <w:color w:val="auto"/>
              </w:rPr>
            </w:pPr>
          </w:p>
        </w:tc>
        <w:tc>
          <w:tcPr>
            <w:tcW w:w="1240" w:type="dxa"/>
            <w:vAlign w:val="bottom"/>
            <w:gridSpan w:val="2"/>
            <w:vMerge w:val="restart"/>
          </w:tcPr>
          <w:p>
            <w:pPr>
              <w:ind w:left="300"/>
              <w:spacing w:after="0"/>
              <w:rPr>
                <w:sz w:val="20"/>
                <w:szCs w:val="20"/>
                <w:color w:val="auto"/>
              </w:rPr>
            </w:pPr>
            <w:r>
              <w:rPr>
                <w:rFonts w:ascii="Arial" w:cs="Arial" w:eastAsia="Arial" w:hAnsi="Arial"/>
                <w:sz w:val="16"/>
                <w:szCs w:val="16"/>
                <w:b w:val="1"/>
                <w:bCs w:val="1"/>
                <w:color w:val="auto"/>
              </w:rPr>
              <w:t>Shares</w:t>
            </w:r>
          </w:p>
        </w:tc>
        <w:tc>
          <w:tcPr>
            <w:tcW w:w="180" w:type="dxa"/>
            <w:vAlign w:val="bottom"/>
          </w:tcPr>
          <w:p>
            <w:pPr>
              <w:spacing w:after="0"/>
              <w:rPr>
                <w:sz w:val="2"/>
                <w:szCs w:val="2"/>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520" w:type="dxa"/>
            <w:vAlign w:val="bottom"/>
            <w:gridSpan w:val="3"/>
            <w:vMerge w:val="continue"/>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Capital</w:t>
            </w:r>
          </w:p>
        </w:tc>
        <w:tc>
          <w:tcPr>
            <w:tcW w:w="160" w:type="dxa"/>
            <w:vAlign w:val="bottom"/>
          </w:tcPr>
          <w:p>
            <w:pPr>
              <w:spacing w:after="0"/>
              <w:rPr>
                <w:sz w:val="18"/>
                <w:szCs w:val="18"/>
                <w:color w:val="auto"/>
              </w:rPr>
            </w:pPr>
          </w:p>
        </w:tc>
        <w:tc>
          <w:tcPr>
            <w:tcW w:w="1040" w:type="dxa"/>
            <w:vAlign w:val="bottom"/>
            <w:gridSpan w:val="2"/>
          </w:tcPr>
          <w:p>
            <w:pPr>
              <w:ind w:left="40"/>
              <w:spacing w:after="0"/>
              <w:rPr>
                <w:sz w:val="20"/>
                <w:szCs w:val="20"/>
                <w:color w:val="auto"/>
              </w:rPr>
            </w:pPr>
            <w:r>
              <w:rPr>
                <w:rFonts w:ascii="Arial" w:cs="Arial" w:eastAsia="Arial" w:hAnsi="Arial"/>
                <w:sz w:val="16"/>
                <w:szCs w:val="16"/>
                <w:b w:val="1"/>
                <w:bCs w:val="1"/>
                <w:color w:val="auto"/>
              </w:rPr>
              <w:t>Earnings</w:t>
            </w: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Income (Loss)</w:t>
            </w:r>
          </w:p>
        </w:tc>
        <w:tc>
          <w:tcPr>
            <w:tcW w:w="260" w:type="dxa"/>
            <w:vAlign w:val="bottom"/>
          </w:tcPr>
          <w:p>
            <w:pPr>
              <w:spacing w:after="0"/>
              <w:rPr>
                <w:sz w:val="18"/>
                <w:szCs w:val="18"/>
                <w:color w:val="auto"/>
              </w:rPr>
            </w:pPr>
          </w:p>
        </w:tc>
        <w:tc>
          <w:tcPr>
            <w:tcW w:w="1000" w:type="dxa"/>
            <w:vAlign w:val="bottom"/>
          </w:tcPr>
          <w:p>
            <w:pPr>
              <w:jc w:val="center"/>
              <w:ind w:right="171"/>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62"/>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 March 29, 2026</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20,752,138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32,678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500,142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534,009</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ind w:left="240"/>
              <w:spacing w:after="0" w:line="176" w:lineRule="exact"/>
              <w:rPr>
                <w:sz w:val="20"/>
                <w:szCs w:val="20"/>
                <w:color w:val="auto"/>
              </w:rPr>
            </w:pPr>
            <w:r>
              <w:rPr>
                <w:rFonts w:ascii="Arial" w:cs="Arial" w:eastAsia="Arial" w:hAnsi="Arial"/>
                <w:sz w:val="18"/>
                <w:szCs w:val="18"/>
                <w:color w:val="auto"/>
              </w:rPr>
              <w:t>Cash dividends declared and paid ($0.19</w:t>
            </w: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540" w:type="dxa"/>
            <w:vAlign w:val="bottom"/>
            <w:vMerge w:val="continue"/>
          </w:tcPr>
          <w:p>
            <w:pPr>
              <w:spacing w:after="0"/>
              <w:rPr>
                <w:sz w:val="11"/>
                <w:szCs w:val="11"/>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1"/>
                <w:szCs w:val="11"/>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1"/>
                <w:szCs w:val="11"/>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(3,971)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(3,971)</w:t>
            </w:r>
          </w:p>
        </w:tc>
        <w:tc>
          <w:tcPr>
            <w:tcW w:w="0" w:type="dxa"/>
            <w:vAlign w:val="bottom"/>
          </w:tcPr>
          <w:p>
            <w:pPr>
              <w:spacing w:after="0"/>
              <w:rPr>
                <w:sz w:val="1"/>
                <w:szCs w:val="1"/>
                <w:color w:val="auto"/>
              </w:rPr>
            </w:pPr>
          </w:p>
        </w:tc>
      </w:tr>
      <w:tr>
        <w:trPr>
          <w:trHeight w:val="243"/>
        </w:trPr>
        <w:tc>
          <w:tcPr>
            <w:tcW w:w="3540" w:type="dxa"/>
            <w:vAlign w:val="bottom"/>
          </w:tcPr>
          <w:p>
            <w:pPr>
              <w:ind w:left="240"/>
              <w:spacing w:after="0"/>
              <w:rPr>
                <w:sz w:val="20"/>
                <w:szCs w:val="20"/>
                <w:color w:val="auto"/>
              </w:rPr>
            </w:pPr>
            <w:r>
              <w:rPr>
                <w:rFonts w:ascii="Arial" w:cs="Arial" w:eastAsia="Arial" w:hAnsi="Arial"/>
                <w:sz w:val="18"/>
                <w:szCs w:val="18"/>
                <w:color w:val="auto"/>
              </w:rPr>
              <w:t>per share)</w:t>
            </w:r>
          </w:p>
        </w:tc>
        <w:tc>
          <w:tcPr>
            <w:tcW w:w="124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Share-based compensation expense</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43"/>
        </w:trPr>
        <w:tc>
          <w:tcPr>
            <w:tcW w:w="3540" w:type="dxa"/>
            <w:vAlign w:val="bottom"/>
          </w:tcPr>
          <w:p>
            <w:pPr>
              <w:ind w:left="240"/>
              <w:spacing w:after="0"/>
              <w:rPr>
                <w:sz w:val="20"/>
                <w:szCs w:val="20"/>
                <w:color w:val="auto"/>
              </w:rPr>
            </w:pPr>
            <w:r>
              <w:rPr>
                <w:rFonts w:ascii="Arial" w:cs="Arial" w:eastAsia="Arial" w:hAnsi="Arial"/>
                <w:sz w:val="18"/>
                <w:szCs w:val="18"/>
                <w:color w:val="auto"/>
              </w:rPr>
              <w:t>Vesting of restricted stock</w:t>
            </w:r>
          </w:p>
        </w:tc>
        <w:tc>
          <w:tcPr>
            <w:tcW w:w="1140" w:type="dxa"/>
            <w:vAlign w:val="bottom"/>
          </w:tcPr>
          <w:p>
            <w:pPr>
              <w:jc w:val="right"/>
              <w:spacing w:after="0"/>
              <w:rPr>
                <w:sz w:val="20"/>
                <w:szCs w:val="20"/>
                <w:color w:val="auto"/>
              </w:rPr>
            </w:pPr>
            <w:r>
              <w:rPr>
                <w:rFonts w:ascii="Arial" w:cs="Arial" w:eastAsia="Arial" w:hAnsi="Arial"/>
                <w:sz w:val="18"/>
                <w:szCs w:val="18"/>
                <w:color w:val="auto"/>
              </w:rPr>
              <w:t>70,859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Shares surrendered for payroll taxes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(33,917)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(5,143)</w:t>
            </w:r>
          </w:p>
        </w:tc>
        <w:tc>
          <w:tcPr>
            <w:tcW w:w="0" w:type="dxa"/>
            <w:vAlign w:val="bottom"/>
          </w:tcPr>
          <w:p>
            <w:pPr>
              <w:spacing w:after="0"/>
              <w:rPr>
                <w:sz w:val="1"/>
                <w:szCs w:val="1"/>
                <w:color w:val="auto"/>
              </w:rPr>
            </w:pPr>
          </w:p>
        </w:tc>
      </w:tr>
      <w:tr>
        <w:trPr>
          <w:trHeight w:val="243"/>
        </w:trPr>
        <w:tc>
          <w:tcPr>
            <w:tcW w:w="3540" w:type="dxa"/>
            <w:vAlign w:val="bottom"/>
          </w:tcPr>
          <w:p>
            <w:pPr>
              <w:ind w:left="240"/>
              <w:spacing w:after="0"/>
              <w:rPr>
                <w:sz w:val="20"/>
                <w:szCs w:val="20"/>
                <w:color w:val="auto"/>
              </w:rPr>
            </w:pPr>
            <w:r>
              <w:rPr>
                <w:rFonts w:ascii="Arial" w:cs="Arial" w:eastAsia="Arial" w:hAnsi="Arial"/>
                <w:sz w:val="18"/>
                <w:szCs w:val="18"/>
                <w:color w:val="auto"/>
              </w:rPr>
              <w:t>Shares repurchased</w:t>
            </w:r>
          </w:p>
        </w:tc>
        <w:tc>
          <w:tcPr>
            <w:tcW w:w="1140" w:type="dxa"/>
            <w:vAlign w:val="bottom"/>
          </w:tcPr>
          <w:p>
            <w:pPr>
              <w:jc w:val="right"/>
              <w:spacing w:after="0"/>
              <w:rPr>
                <w:sz w:val="20"/>
                <w:szCs w:val="20"/>
                <w:color w:val="auto"/>
              </w:rPr>
            </w:pPr>
            <w:r>
              <w:rPr>
                <w:rFonts w:ascii="Arial" w:cs="Arial" w:eastAsia="Arial" w:hAnsi="Arial"/>
                <w:sz w:val="18"/>
                <w:szCs w:val="18"/>
                <w:color w:val="auto"/>
              </w:rPr>
              <w:t>(45,196)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(7,021)</w:t>
            </w:r>
          </w:p>
        </w:tc>
        <w:tc>
          <w:tcPr>
            <w:tcW w:w="0" w:type="dxa"/>
            <w:vAlign w:val="bottom"/>
          </w:tcPr>
          <w:p>
            <w:pPr>
              <w:spacing w:after="0"/>
              <w:rPr>
                <w:sz w:val="1"/>
                <w:szCs w:val="1"/>
                <w:color w:val="auto"/>
              </w:rPr>
            </w:pPr>
          </w:p>
        </w:tc>
      </w:tr>
      <w:tr>
        <w:trPr>
          <w:trHeight w:val="243"/>
        </w:trPr>
        <w:tc>
          <w:tcPr>
            <w:tcW w:w="3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comprehensive loss, net of tax</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43"/>
        </w:trPr>
        <w:tc>
          <w:tcPr>
            <w:tcW w:w="354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28,254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28,254</w:t>
            </w:r>
          </w:p>
        </w:tc>
        <w:tc>
          <w:tcPr>
            <w:tcW w:w="0" w:type="dxa"/>
            <w:vAlign w:val="bottom"/>
          </w:tcPr>
          <w:p>
            <w:pPr>
              <w:spacing w:after="0"/>
              <w:rPr>
                <w:sz w:val="1"/>
                <w:szCs w:val="1"/>
                <w:color w:val="auto"/>
              </w:rPr>
            </w:pPr>
          </w:p>
        </w:tc>
      </w:tr>
      <w:tr>
        <w:trPr>
          <w:trHeight w:val="262"/>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 June 28, 2026</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20,743,884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22,750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524,425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548,204</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ind w:left="240"/>
              <w:spacing w:after="0" w:line="176" w:lineRule="exact"/>
              <w:rPr>
                <w:sz w:val="20"/>
                <w:szCs w:val="20"/>
                <w:color w:val="auto"/>
              </w:rPr>
            </w:pPr>
            <w:r>
              <w:rPr>
                <w:rFonts w:ascii="Arial" w:cs="Arial" w:eastAsia="Arial" w:hAnsi="Arial"/>
                <w:sz w:val="18"/>
                <w:szCs w:val="18"/>
                <w:color w:val="auto"/>
              </w:rPr>
              <w:t>Cash dividends declared and paid ($0.20</w:t>
            </w: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540" w:type="dxa"/>
            <w:vAlign w:val="bottom"/>
            <w:vMerge w:val="continue"/>
          </w:tcPr>
          <w:p>
            <w:pPr>
              <w:spacing w:after="0"/>
              <w:rPr>
                <w:sz w:val="11"/>
                <w:szCs w:val="11"/>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1"/>
                <w:szCs w:val="11"/>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1"/>
                <w:szCs w:val="11"/>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(4,165)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(4,165)</w:t>
            </w:r>
          </w:p>
        </w:tc>
        <w:tc>
          <w:tcPr>
            <w:tcW w:w="0" w:type="dxa"/>
            <w:vAlign w:val="bottom"/>
          </w:tcPr>
          <w:p>
            <w:pPr>
              <w:spacing w:after="0"/>
              <w:rPr>
                <w:sz w:val="1"/>
                <w:szCs w:val="1"/>
                <w:color w:val="auto"/>
              </w:rPr>
            </w:pPr>
          </w:p>
        </w:tc>
      </w:tr>
      <w:tr>
        <w:trPr>
          <w:trHeight w:val="243"/>
        </w:trPr>
        <w:tc>
          <w:tcPr>
            <w:tcW w:w="3540" w:type="dxa"/>
            <w:vAlign w:val="bottom"/>
          </w:tcPr>
          <w:p>
            <w:pPr>
              <w:ind w:left="240"/>
              <w:spacing w:after="0"/>
              <w:rPr>
                <w:sz w:val="20"/>
                <w:szCs w:val="20"/>
                <w:color w:val="auto"/>
              </w:rPr>
            </w:pPr>
            <w:r>
              <w:rPr>
                <w:rFonts w:ascii="Arial" w:cs="Arial" w:eastAsia="Arial" w:hAnsi="Arial"/>
                <w:sz w:val="18"/>
                <w:szCs w:val="18"/>
                <w:color w:val="auto"/>
              </w:rPr>
              <w:t>per share)</w:t>
            </w:r>
          </w:p>
        </w:tc>
        <w:tc>
          <w:tcPr>
            <w:tcW w:w="124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Share-based compensation expense</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w:t>
            </w:r>
          </w:p>
        </w:tc>
        <w:tc>
          <w:tcPr>
            <w:tcW w:w="0" w:type="dxa"/>
            <w:vAlign w:val="bottom"/>
          </w:tcPr>
          <w:p>
            <w:pPr>
              <w:spacing w:after="0"/>
              <w:rPr>
                <w:sz w:val="1"/>
                <w:szCs w:val="1"/>
                <w:color w:val="auto"/>
              </w:rPr>
            </w:pPr>
          </w:p>
        </w:tc>
      </w:tr>
      <w:tr>
        <w:trPr>
          <w:trHeight w:val="243"/>
        </w:trPr>
        <w:tc>
          <w:tcPr>
            <w:tcW w:w="3540" w:type="dxa"/>
            <w:vAlign w:val="bottom"/>
          </w:tcPr>
          <w:p>
            <w:pPr>
              <w:ind w:left="240"/>
              <w:spacing w:after="0"/>
              <w:rPr>
                <w:sz w:val="20"/>
                <w:szCs w:val="20"/>
                <w:color w:val="auto"/>
              </w:rPr>
            </w:pPr>
            <w:r>
              <w:rPr>
                <w:rFonts w:ascii="Arial" w:cs="Arial" w:eastAsia="Arial" w:hAnsi="Arial"/>
                <w:sz w:val="18"/>
                <w:szCs w:val="18"/>
                <w:color w:val="auto"/>
              </w:rPr>
              <w:t>Vesting of restricted stock</w:t>
            </w:r>
          </w:p>
        </w:tc>
        <w:tc>
          <w:tcPr>
            <w:tcW w:w="1140" w:type="dxa"/>
            <w:vAlign w:val="bottom"/>
          </w:tcPr>
          <w:p>
            <w:pPr>
              <w:jc w:val="right"/>
              <w:spacing w:after="0"/>
              <w:rPr>
                <w:sz w:val="20"/>
                <w:szCs w:val="20"/>
                <w:color w:val="auto"/>
              </w:rPr>
            </w:pPr>
            <w:r>
              <w:rPr>
                <w:rFonts w:ascii="Arial" w:cs="Arial" w:eastAsia="Arial" w:hAnsi="Arial"/>
                <w:sz w:val="18"/>
                <w:szCs w:val="18"/>
                <w:color w:val="auto"/>
              </w:rPr>
              <w:t>4,396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ESPP shares issued</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43"/>
        </w:trPr>
        <w:tc>
          <w:tcPr>
            <w:tcW w:w="3540" w:type="dxa"/>
            <w:vAlign w:val="bottom"/>
          </w:tcPr>
          <w:p>
            <w:pPr>
              <w:ind w:left="240"/>
              <w:spacing w:after="0"/>
              <w:rPr>
                <w:sz w:val="20"/>
                <w:szCs w:val="20"/>
                <w:color w:val="auto"/>
              </w:rPr>
            </w:pPr>
            <w:r>
              <w:rPr>
                <w:rFonts w:ascii="Arial" w:cs="Arial" w:eastAsia="Arial" w:hAnsi="Arial"/>
                <w:sz w:val="18"/>
                <w:szCs w:val="18"/>
                <w:color w:val="auto"/>
              </w:rPr>
              <w:t>Shares repurchased</w:t>
            </w:r>
          </w:p>
        </w:tc>
        <w:tc>
          <w:tcPr>
            <w:tcW w:w="1140" w:type="dxa"/>
            <w:vAlign w:val="bottom"/>
          </w:tcPr>
          <w:p>
            <w:pPr>
              <w:jc w:val="right"/>
              <w:spacing w:after="0"/>
              <w:rPr>
                <w:sz w:val="20"/>
                <w:szCs w:val="20"/>
                <w:color w:val="auto"/>
              </w:rPr>
            </w:pPr>
            <w:r>
              <w:rPr>
                <w:rFonts w:ascii="Arial" w:cs="Arial" w:eastAsia="Arial" w:hAnsi="Arial"/>
                <w:sz w:val="18"/>
                <w:szCs w:val="18"/>
                <w:color w:val="auto"/>
              </w:rPr>
              <w:t>(87,381)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(11,625)</w:t>
            </w:r>
          </w:p>
        </w:tc>
        <w:tc>
          <w:tcPr>
            <w:tcW w:w="0" w:type="dxa"/>
            <w:vAlign w:val="bottom"/>
          </w:tcPr>
          <w:p>
            <w:pPr>
              <w:spacing w:after="0"/>
              <w:rPr>
                <w:sz w:val="1"/>
                <w:szCs w:val="1"/>
                <w:color w:val="auto"/>
              </w:rPr>
            </w:pPr>
          </w:p>
        </w:tc>
      </w:tr>
      <w:tr>
        <w:trPr>
          <w:trHeight w:val="243"/>
        </w:trPr>
        <w:tc>
          <w:tcPr>
            <w:tcW w:w="3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comprehensive loss, net of tax</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43"/>
        </w:trPr>
        <w:tc>
          <w:tcPr>
            <w:tcW w:w="354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27,781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27,781</w:t>
            </w:r>
          </w:p>
        </w:tc>
        <w:tc>
          <w:tcPr>
            <w:tcW w:w="0" w:type="dxa"/>
            <w:vAlign w:val="bottom"/>
          </w:tcPr>
          <w:p>
            <w:pPr>
              <w:spacing w:after="0"/>
              <w:rPr>
                <w:sz w:val="1"/>
                <w:szCs w:val="1"/>
                <w:color w:val="auto"/>
              </w:rPr>
            </w:pPr>
          </w:p>
        </w:tc>
      </w:tr>
      <w:tr>
        <w:trPr>
          <w:trHeight w:val="234"/>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 September 27, 2026</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20,674,812</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548,041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563,689</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240"/>
              <w:spacing w:after="0" w:line="163" w:lineRule="exact"/>
              <w:rPr>
                <w:sz w:val="20"/>
                <w:szCs w:val="20"/>
                <w:color w:val="auto"/>
              </w:rPr>
            </w:pPr>
            <w:r>
              <w:rPr>
                <w:rFonts w:ascii="Arial" w:cs="Arial" w:eastAsia="Arial" w:hAnsi="Arial"/>
                <w:sz w:val="16"/>
                <w:szCs w:val="16"/>
                <w:b w:val="1"/>
                <w:bCs w:val="1"/>
                <w:color w:val="auto"/>
              </w:rPr>
              <w:t>Accumulated</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2440" w:type="dxa"/>
            <w:vAlign w:val="bottom"/>
            <w:gridSpan w:val="5"/>
          </w:tcPr>
          <w:p>
            <w:pPr>
              <w:ind w:left="560"/>
              <w:spacing w:after="0"/>
              <w:rPr>
                <w:sz w:val="20"/>
                <w:szCs w:val="20"/>
                <w:color w:val="auto"/>
              </w:rPr>
            </w:pPr>
            <w:r>
              <w:rPr>
                <w:rFonts w:ascii="Arial" w:cs="Arial" w:eastAsia="Arial" w:hAnsi="Arial"/>
                <w:sz w:val="16"/>
                <w:szCs w:val="16"/>
                <w:b w:val="1"/>
                <w:bCs w:val="1"/>
                <w:color w:val="auto"/>
              </w:rPr>
              <w:t>Common Stock</w:t>
            </w: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Additional</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Other</w:t>
            </w:r>
          </w:p>
        </w:tc>
        <w:tc>
          <w:tcPr>
            <w:tcW w:w="260" w:type="dxa"/>
            <w:vAlign w:val="bottom"/>
          </w:tcPr>
          <w:p>
            <w:pPr>
              <w:spacing w:after="0"/>
              <w:rPr>
                <w:sz w:val="18"/>
                <w:szCs w:val="18"/>
                <w:color w:val="auto"/>
              </w:rPr>
            </w:pPr>
          </w:p>
        </w:tc>
        <w:tc>
          <w:tcPr>
            <w:tcW w:w="1000" w:type="dxa"/>
            <w:vAlign w:val="bottom"/>
          </w:tcPr>
          <w:p>
            <w:pPr>
              <w:jc w:val="center"/>
              <w:ind w:right="171"/>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54"/>
        </w:trPr>
        <w:tc>
          <w:tcPr>
            <w:tcW w:w="354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gridSpan w:val="2"/>
            <w:vMerge w:val="restart"/>
          </w:tcPr>
          <w:p>
            <w:pPr>
              <w:jc w:val="center"/>
              <w:ind w:right="260"/>
              <w:spacing w:after="0" w:line="108" w:lineRule="exact"/>
              <w:rPr>
                <w:sz w:val="20"/>
                <w:szCs w:val="20"/>
                <w:color w:val="auto"/>
              </w:rPr>
            </w:pPr>
            <w:r>
              <w:rPr>
                <w:rFonts w:ascii="Arial" w:cs="Arial" w:eastAsia="Arial" w:hAnsi="Arial"/>
                <w:sz w:val="12"/>
                <w:szCs w:val="12"/>
                <w:b w:val="1"/>
                <w:bCs w:val="1"/>
                <w:color w:val="auto"/>
              </w:rPr>
              <w:t>Paid-in</w:t>
            </w:r>
          </w:p>
        </w:tc>
        <w:tc>
          <w:tcPr>
            <w:tcW w:w="160" w:type="dxa"/>
            <w:vAlign w:val="bottom"/>
          </w:tcPr>
          <w:p>
            <w:pPr>
              <w:spacing w:after="0"/>
              <w:rPr>
                <w:sz w:val="4"/>
                <w:szCs w:val="4"/>
                <w:color w:val="auto"/>
              </w:rPr>
            </w:pPr>
          </w:p>
        </w:tc>
        <w:tc>
          <w:tcPr>
            <w:tcW w:w="1040" w:type="dxa"/>
            <w:vAlign w:val="bottom"/>
            <w:gridSpan w:val="2"/>
            <w:vMerge w:val="restart"/>
          </w:tcPr>
          <w:p>
            <w:pPr>
              <w:ind w:left="40"/>
              <w:spacing w:after="0" w:line="108" w:lineRule="exact"/>
              <w:rPr>
                <w:sz w:val="20"/>
                <w:szCs w:val="20"/>
                <w:color w:val="auto"/>
              </w:rPr>
            </w:pPr>
            <w:r>
              <w:rPr>
                <w:rFonts w:ascii="Arial" w:cs="Arial" w:eastAsia="Arial" w:hAnsi="Arial"/>
                <w:sz w:val="12"/>
                <w:szCs w:val="12"/>
                <w:b w:val="1"/>
                <w:bCs w:val="1"/>
                <w:color w:val="auto"/>
              </w:rPr>
              <w:t>Retained</w:t>
            </w:r>
          </w:p>
        </w:tc>
        <w:tc>
          <w:tcPr>
            <w:tcW w:w="1520" w:type="dxa"/>
            <w:vAlign w:val="bottom"/>
            <w:gridSpan w:val="3"/>
            <w:vMerge w:val="restart"/>
          </w:tcPr>
          <w:p>
            <w:pPr>
              <w:jc w:val="center"/>
              <w:ind w:right="100"/>
              <w:spacing w:after="0" w:line="108" w:lineRule="exact"/>
              <w:rPr>
                <w:sz w:val="20"/>
                <w:szCs w:val="20"/>
                <w:color w:val="auto"/>
              </w:rPr>
            </w:pPr>
            <w:r>
              <w:rPr>
                <w:rFonts w:ascii="Arial" w:cs="Arial" w:eastAsia="Arial" w:hAnsi="Arial"/>
                <w:sz w:val="12"/>
                <w:szCs w:val="12"/>
                <w:b w:val="1"/>
                <w:bCs w:val="1"/>
                <w:color w:val="auto"/>
              </w:rPr>
              <w:t>Comprehensive</w:t>
            </w:r>
          </w:p>
        </w:tc>
        <w:tc>
          <w:tcPr>
            <w:tcW w:w="1260" w:type="dxa"/>
            <w:vAlign w:val="bottom"/>
            <w:gridSpan w:val="2"/>
            <w:vMerge w:val="restart"/>
          </w:tcPr>
          <w:p>
            <w:pPr>
              <w:jc w:val="center"/>
              <w:spacing w:after="0" w:line="108" w:lineRule="exact"/>
              <w:rPr>
                <w:sz w:val="20"/>
                <w:szCs w:val="20"/>
                <w:color w:val="auto"/>
              </w:rPr>
            </w:pPr>
            <w:r>
              <w:rPr>
                <w:rFonts w:ascii="Arial" w:cs="Arial" w:eastAsia="Arial" w:hAnsi="Arial"/>
                <w:sz w:val="12"/>
                <w:szCs w:val="12"/>
                <w:b w:val="1"/>
                <w:bCs w:val="1"/>
                <w:color w:val="auto"/>
              </w:rPr>
              <w:t>Shareholders’</w:t>
            </w:r>
          </w:p>
        </w:tc>
        <w:tc>
          <w:tcPr>
            <w:tcW w:w="0" w:type="dxa"/>
            <w:vAlign w:val="bottom"/>
          </w:tcPr>
          <w:p>
            <w:pPr>
              <w:spacing w:after="0"/>
              <w:rPr>
                <w:sz w:val="1"/>
                <w:szCs w:val="1"/>
                <w:color w:val="auto"/>
              </w:rPr>
            </w:pPr>
          </w:p>
        </w:tc>
      </w:tr>
      <w:tr>
        <w:trPr>
          <w:trHeight w:val="34"/>
        </w:trPr>
        <w:tc>
          <w:tcPr>
            <w:tcW w:w="3540" w:type="dxa"/>
            <w:vAlign w:val="bottom"/>
          </w:tcPr>
          <w:p>
            <w:pPr>
              <w:spacing w:after="0"/>
              <w:rPr>
                <w:sz w:val="2"/>
                <w:szCs w:val="2"/>
                <w:color w:val="auto"/>
              </w:rPr>
            </w:pPr>
          </w:p>
        </w:tc>
        <w:tc>
          <w:tcPr>
            <w:tcW w:w="1240" w:type="dxa"/>
            <w:vAlign w:val="bottom"/>
            <w:gridSpan w:val="2"/>
            <w:vMerge w:val="restart"/>
          </w:tcPr>
          <w:p>
            <w:pPr>
              <w:ind w:left="300"/>
              <w:spacing w:after="0"/>
              <w:rPr>
                <w:sz w:val="20"/>
                <w:szCs w:val="20"/>
                <w:color w:val="auto"/>
              </w:rPr>
            </w:pPr>
            <w:r>
              <w:rPr>
                <w:rFonts w:ascii="Arial" w:cs="Arial" w:eastAsia="Arial" w:hAnsi="Arial"/>
                <w:sz w:val="16"/>
                <w:szCs w:val="16"/>
                <w:b w:val="1"/>
                <w:bCs w:val="1"/>
                <w:color w:val="auto"/>
              </w:rPr>
              <w:t>Shares</w:t>
            </w:r>
          </w:p>
        </w:tc>
        <w:tc>
          <w:tcPr>
            <w:tcW w:w="180" w:type="dxa"/>
            <w:vAlign w:val="bottom"/>
          </w:tcPr>
          <w:p>
            <w:pPr>
              <w:spacing w:after="0"/>
              <w:rPr>
                <w:sz w:val="2"/>
                <w:szCs w:val="2"/>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520" w:type="dxa"/>
            <w:vAlign w:val="bottom"/>
            <w:gridSpan w:val="3"/>
            <w:vMerge w:val="continue"/>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Capital</w:t>
            </w:r>
          </w:p>
        </w:tc>
        <w:tc>
          <w:tcPr>
            <w:tcW w:w="160" w:type="dxa"/>
            <w:vAlign w:val="bottom"/>
          </w:tcPr>
          <w:p>
            <w:pPr>
              <w:spacing w:after="0"/>
              <w:rPr>
                <w:sz w:val="18"/>
                <w:szCs w:val="18"/>
                <w:color w:val="auto"/>
              </w:rPr>
            </w:pPr>
          </w:p>
        </w:tc>
        <w:tc>
          <w:tcPr>
            <w:tcW w:w="1040" w:type="dxa"/>
            <w:vAlign w:val="bottom"/>
            <w:gridSpan w:val="2"/>
          </w:tcPr>
          <w:p>
            <w:pPr>
              <w:ind w:left="40"/>
              <w:spacing w:after="0"/>
              <w:rPr>
                <w:sz w:val="20"/>
                <w:szCs w:val="20"/>
                <w:color w:val="auto"/>
              </w:rPr>
            </w:pPr>
            <w:r>
              <w:rPr>
                <w:rFonts w:ascii="Arial" w:cs="Arial" w:eastAsia="Arial" w:hAnsi="Arial"/>
                <w:sz w:val="16"/>
                <w:szCs w:val="16"/>
                <w:b w:val="1"/>
                <w:bCs w:val="1"/>
                <w:color w:val="auto"/>
              </w:rPr>
              <w:t>Earnings</w:t>
            </w: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Income (Loss)</w:t>
            </w:r>
          </w:p>
        </w:tc>
        <w:tc>
          <w:tcPr>
            <w:tcW w:w="260" w:type="dxa"/>
            <w:vAlign w:val="bottom"/>
          </w:tcPr>
          <w:p>
            <w:pPr>
              <w:spacing w:after="0"/>
              <w:rPr>
                <w:sz w:val="18"/>
                <w:szCs w:val="18"/>
                <w:color w:val="auto"/>
              </w:rPr>
            </w:pPr>
          </w:p>
        </w:tc>
        <w:tc>
          <w:tcPr>
            <w:tcW w:w="1000" w:type="dxa"/>
            <w:vAlign w:val="bottom"/>
          </w:tcPr>
          <w:p>
            <w:pPr>
              <w:jc w:val="center"/>
              <w:ind w:right="171"/>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62"/>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 March 30, 2025</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20,684,621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24,094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434,259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460,292</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ind w:left="240"/>
              <w:spacing w:after="0" w:line="176" w:lineRule="exact"/>
              <w:rPr>
                <w:sz w:val="20"/>
                <w:szCs w:val="20"/>
                <w:color w:val="auto"/>
              </w:rPr>
            </w:pPr>
            <w:r>
              <w:rPr>
                <w:rFonts w:ascii="Arial" w:cs="Arial" w:eastAsia="Arial" w:hAnsi="Arial"/>
                <w:sz w:val="18"/>
                <w:szCs w:val="18"/>
                <w:color w:val="auto"/>
              </w:rPr>
              <w:t>Cash dividends declared and paid ($0.18</w:t>
            </w: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540" w:type="dxa"/>
            <w:vAlign w:val="bottom"/>
            <w:vMerge w:val="continue"/>
          </w:tcPr>
          <w:p>
            <w:pPr>
              <w:spacing w:after="0"/>
              <w:rPr>
                <w:sz w:val="11"/>
                <w:szCs w:val="11"/>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1"/>
                <w:szCs w:val="11"/>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1"/>
                <w:szCs w:val="11"/>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(3,754)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(3,754)</w:t>
            </w:r>
          </w:p>
        </w:tc>
        <w:tc>
          <w:tcPr>
            <w:tcW w:w="0" w:type="dxa"/>
            <w:vAlign w:val="bottom"/>
          </w:tcPr>
          <w:p>
            <w:pPr>
              <w:spacing w:after="0"/>
              <w:rPr>
                <w:sz w:val="1"/>
                <w:szCs w:val="1"/>
                <w:color w:val="auto"/>
              </w:rPr>
            </w:pPr>
          </w:p>
        </w:tc>
      </w:tr>
      <w:tr>
        <w:trPr>
          <w:trHeight w:val="243"/>
        </w:trPr>
        <w:tc>
          <w:tcPr>
            <w:tcW w:w="3540" w:type="dxa"/>
            <w:vAlign w:val="bottom"/>
          </w:tcPr>
          <w:p>
            <w:pPr>
              <w:ind w:left="240"/>
              <w:spacing w:after="0"/>
              <w:rPr>
                <w:sz w:val="20"/>
                <w:szCs w:val="20"/>
                <w:color w:val="auto"/>
              </w:rPr>
            </w:pPr>
            <w:r>
              <w:rPr>
                <w:rFonts w:ascii="Arial" w:cs="Arial" w:eastAsia="Arial" w:hAnsi="Arial"/>
                <w:sz w:val="18"/>
                <w:szCs w:val="18"/>
                <w:color w:val="auto"/>
              </w:rPr>
              <w:t>per share)</w:t>
            </w:r>
          </w:p>
        </w:tc>
        <w:tc>
          <w:tcPr>
            <w:tcW w:w="124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Share-based compensation expense</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w:t>
            </w:r>
          </w:p>
        </w:tc>
        <w:tc>
          <w:tcPr>
            <w:tcW w:w="0" w:type="dxa"/>
            <w:vAlign w:val="bottom"/>
          </w:tcPr>
          <w:p>
            <w:pPr>
              <w:spacing w:after="0"/>
              <w:rPr>
                <w:sz w:val="1"/>
                <w:szCs w:val="1"/>
                <w:color w:val="auto"/>
              </w:rPr>
            </w:pPr>
          </w:p>
        </w:tc>
      </w:tr>
      <w:tr>
        <w:trPr>
          <w:trHeight w:val="243"/>
        </w:trPr>
        <w:tc>
          <w:tcPr>
            <w:tcW w:w="3540" w:type="dxa"/>
            <w:vAlign w:val="bottom"/>
          </w:tcPr>
          <w:p>
            <w:pPr>
              <w:ind w:left="240"/>
              <w:spacing w:after="0"/>
              <w:rPr>
                <w:sz w:val="20"/>
                <w:szCs w:val="20"/>
                <w:color w:val="auto"/>
              </w:rPr>
            </w:pPr>
            <w:r>
              <w:rPr>
                <w:rFonts w:ascii="Arial" w:cs="Arial" w:eastAsia="Arial" w:hAnsi="Arial"/>
                <w:sz w:val="18"/>
                <w:szCs w:val="18"/>
                <w:color w:val="auto"/>
              </w:rPr>
              <w:t>Vesting of restricted stock</w:t>
            </w:r>
          </w:p>
        </w:tc>
        <w:tc>
          <w:tcPr>
            <w:tcW w:w="1140" w:type="dxa"/>
            <w:vAlign w:val="bottom"/>
          </w:tcPr>
          <w:p>
            <w:pPr>
              <w:jc w:val="right"/>
              <w:spacing w:after="0"/>
              <w:rPr>
                <w:sz w:val="20"/>
                <w:szCs w:val="20"/>
                <w:color w:val="auto"/>
              </w:rPr>
            </w:pPr>
            <w:r>
              <w:rPr>
                <w:rFonts w:ascii="Arial" w:cs="Arial" w:eastAsia="Arial" w:hAnsi="Arial"/>
                <w:sz w:val="18"/>
                <w:szCs w:val="18"/>
                <w:color w:val="auto"/>
              </w:rPr>
              <w:t>61,819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Shares surrendered for payroll taxes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(28,590)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(3,028)</w:t>
            </w:r>
          </w:p>
        </w:tc>
        <w:tc>
          <w:tcPr>
            <w:tcW w:w="0" w:type="dxa"/>
            <w:vAlign w:val="bottom"/>
          </w:tcPr>
          <w:p>
            <w:pPr>
              <w:spacing w:after="0"/>
              <w:rPr>
                <w:sz w:val="1"/>
                <w:szCs w:val="1"/>
                <w:color w:val="auto"/>
              </w:rPr>
            </w:pPr>
          </w:p>
        </w:tc>
      </w:tr>
      <w:tr>
        <w:trPr>
          <w:trHeight w:val="243"/>
        </w:trPr>
        <w:tc>
          <w:tcPr>
            <w:tcW w:w="3540" w:type="dxa"/>
            <w:vAlign w:val="bottom"/>
          </w:tcPr>
          <w:p>
            <w:pPr>
              <w:ind w:left="240"/>
              <w:spacing w:after="0"/>
              <w:rPr>
                <w:sz w:val="20"/>
                <w:szCs w:val="20"/>
                <w:color w:val="auto"/>
              </w:rPr>
            </w:pPr>
            <w:r>
              <w:rPr>
                <w:rFonts w:ascii="Arial" w:cs="Arial" w:eastAsia="Arial" w:hAnsi="Arial"/>
                <w:sz w:val="18"/>
                <w:szCs w:val="18"/>
                <w:color w:val="auto"/>
              </w:rPr>
              <w:t>Other comprehensive loss, net of tax</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43"/>
        </w:trPr>
        <w:tc>
          <w:tcPr>
            <w:tcW w:w="3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income</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29,175</w:t>
            </w:r>
          </w:p>
        </w:tc>
        <w:tc>
          <w:tcPr>
            <w:tcW w:w="0" w:type="dxa"/>
            <w:vAlign w:val="bottom"/>
          </w:tcPr>
          <w:p>
            <w:pPr>
              <w:spacing w:after="0"/>
              <w:rPr>
                <w:sz w:val="1"/>
                <w:szCs w:val="1"/>
                <w:color w:val="auto"/>
              </w:rPr>
            </w:pPr>
          </w:p>
        </w:tc>
      </w:tr>
      <w:tr>
        <w:trPr>
          <w:trHeight w:val="236"/>
        </w:trPr>
        <w:tc>
          <w:tcPr>
            <w:tcW w:w="3540" w:type="dxa"/>
            <w:vAlign w:val="bottom"/>
          </w:tcPr>
          <w:p>
            <w:pPr>
              <w:ind w:left="20"/>
              <w:spacing w:after="0"/>
              <w:rPr>
                <w:sz w:val="20"/>
                <w:szCs w:val="20"/>
                <w:color w:val="auto"/>
              </w:rPr>
            </w:pPr>
            <w:r>
              <w:rPr>
                <w:rFonts w:ascii="Arial" w:cs="Arial" w:eastAsia="Arial" w:hAnsi="Arial"/>
                <w:sz w:val="18"/>
                <w:szCs w:val="18"/>
                <w:color w:val="auto"/>
              </w:rPr>
              <w:t>BALANCE — June 29, 2025</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20,717,850</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23,277</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459,680</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1,408</w:t>
            </w:r>
          </w:p>
        </w:tc>
        <w:tc>
          <w:tcPr>
            <w:tcW w:w="12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484,572</w:t>
            </w:r>
          </w:p>
        </w:tc>
        <w:tc>
          <w:tcPr>
            <w:tcW w:w="0" w:type="dxa"/>
            <w:vAlign w:val="bottom"/>
          </w:tcPr>
          <w:p>
            <w:pPr>
              <w:spacing w:after="0"/>
              <w:rPr>
                <w:sz w:val="1"/>
                <w:szCs w:val="1"/>
                <w:color w:val="auto"/>
              </w:rPr>
            </w:pP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40" w:type="dxa"/>
            <w:vAlign w:val="bottom"/>
            <w:shd w:val="clear" w:color="auto" w:fill="CCEEFF"/>
          </w:tcPr>
          <w:p>
            <w:pPr>
              <w:ind w:left="240"/>
              <w:spacing w:after="0" w:line="156" w:lineRule="exact"/>
              <w:rPr>
                <w:sz w:val="20"/>
                <w:szCs w:val="20"/>
                <w:color w:val="auto"/>
              </w:rPr>
            </w:pPr>
            <w:r>
              <w:rPr>
                <w:rFonts w:ascii="Arial" w:cs="Arial" w:eastAsia="Arial" w:hAnsi="Arial"/>
                <w:sz w:val="18"/>
                <w:szCs w:val="18"/>
                <w:color w:val="auto"/>
              </w:rPr>
              <w:t>Cash dividends declared and paid ($0.19</w:t>
            </w: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(3,969)</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(3,969)</w:t>
            </w:r>
          </w:p>
        </w:tc>
        <w:tc>
          <w:tcPr>
            <w:tcW w:w="0" w:type="dxa"/>
            <w:vAlign w:val="bottom"/>
          </w:tcPr>
          <w:p>
            <w:pPr>
              <w:spacing w:after="0"/>
              <w:rPr>
                <w:sz w:val="1"/>
                <w:szCs w:val="1"/>
                <w:color w:val="auto"/>
              </w:rPr>
            </w:pPr>
          </w:p>
        </w:tc>
      </w:tr>
      <w:tr>
        <w:trPr>
          <w:trHeight w:val="243"/>
        </w:trPr>
        <w:tc>
          <w:tcPr>
            <w:tcW w:w="3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per share)</w:t>
            </w:r>
          </w:p>
        </w:tc>
        <w:tc>
          <w:tcPr>
            <w:tcW w:w="124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gridSpan w:val="2"/>
            <w:vMerge w:val="continue"/>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240"/>
              <w:spacing w:after="0"/>
              <w:rPr>
                <w:sz w:val="20"/>
                <w:szCs w:val="20"/>
                <w:color w:val="auto"/>
              </w:rPr>
            </w:pPr>
            <w:r>
              <w:rPr>
                <w:rFonts w:ascii="Arial" w:cs="Arial" w:eastAsia="Arial" w:hAnsi="Arial"/>
                <w:sz w:val="18"/>
                <w:szCs w:val="18"/>
                <w:color w:val="auto"/>
              </w:rPr>
              <w:t>Share-based compensation expense</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2,375</w:t>
            </w:r>
          </w:p>
        </w:tc>
        <w:tc>
          <w:tcPr>
            <w:tcW w:w="0" w:type="dxa"/>
            <w:vAlign w:val="bottom"/>
          </w:tcPr>
          <w:p>
            <w:pPr>
              <w:spacing w:after="0"/>
              <w:rPr>
                <w:sz w:val="1"/>
                <w:szCs w:val="1"/>
                <w:color w:val="auto"/>
              </w:rPr>
            </w:pPr>
          </w:p>
        </w:tc>
      </w:tr>
      <w:tr>
        <w:trPr>
          <w:trHeight w:val="243"/>
        </w:trPr>
        <w:tc>
          <w:tcPr>
            <w:tcW w:w="3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Vesting of restricted stock</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240"/>
              <w:spacing w:after="0"/>
              <w:rPr>
                <w:sz w:val="20"/>
                <w:szCs w:val="20"/>
                <w:color w:val="auto"/>
              </w:rPr>
            </w:pPr>
            <w:r>
              <w:rPr>
                <w:rFonts w:ascii="Arial" w:cs="Arial" w:eastAsia="Arial" w:hAnsi="Arial"/>
                <w:sz w:val="18"/>
                <w:szCs w:val="18"/>
                <w:color w:val="auto"/>
              </w:rPr>
              <w:t>ESPP shares issued</w:t>
            </w:r>
          </w:p>
        </w:tc>
        <w:tc>
          <w:tcPr>
            <w:tcW w:w="1140" w:type="dxa"/>
            <w:vAlign w:val="bottom"/>
          </w:tcPr>
          <w:p>
            <w:pPr>
              <w:jc w:val="right"/>
              <w:spacing w:after="0"/>
              <w:rPr>
                <w:sz w:val="20"/>
                <w:szCs w:val="20"/>
                <w:color w:val="auto"/>
              </w:rPr>
            </w:pPr>
            <w:r>
              <w:rPr>
                <w:rFonts w:ascii="Arial" w:cs="Arial" w:eastAsia="Arial" w:hAnsi="Arial"/>
                <w:sz w:val="18"/>
                <w:szCs w:val="18"/>
                <w:color w:val="auto"/>
              </w:rPr>
              <w:t>15,700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1,609</w:t>
            </w:r>
          </w:p>
        </w:tc>
        <w:tc>
          <w:tcPr>
            <w:tcW w:w="0" w:type="dxa"/>
            <w:vAlign w:val="bottom"/>
          </w:tcPr>
          <w:p>
            <w:pPr>
              <w:spacing w:after="0"/>
              <w:rPr>
                <w:sz w:val="1"/>
                <w:szCs w:val="1"/>
                <w:color w:val="auto"/>
              </w:rPr>
            </w:pPr>
          </w:p>
        </w:tc>
      </w:tr>
      <w:tr>
        <w:trPr>
          <w:trHeight w:val="243"/>
        </w:trPr>
        <w:tc>
          <w:tcPr>
            <w:tcW w:w="3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comprehensive income, net of tax</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43"/>
        </w:trPr>
        <w:tc>
          <w:tcPr>
            <w:tcW w:w="354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22,598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22,598</w:t>
            </w:r>
          </w:p>
        </w:tc>
        <w:tc>
          <w:tcPr>
            <w:tcW w:w="0" w:type="dxa"/>
            <w:vAlign w:val="bottom"/>
          </w:tcPr>
          <w:p>
            <w:pPr>
              <w:spacing w:after="0"/>
              <w:rPr>
                <w:sz w:val="1"/>
                <w:szCs w:val="1"/>
                <w:color w:val="auto"/>
              </w:rPr>
            </w:pPr>
          </w:p>
        </w:tc>
      </w:tr>
      <w:tr>
        <w:trPr>
          <w:trHeight w:val="261"/>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 September 28, 2025</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20,740,284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27,261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478,309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506,968</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b w:val="1"/>
                <w:bCs w:val="1"/>
                <w:color w:val="auto"/>
              </w:rPr>
              <w:t>Six months ended</w:t>
            </w:r>
          </w:p>
        </w:tc>
      </w:tr>
      <w:tr>
        <w:trPr>
          <w:trHeight w:val="183"/>
        </w:trPr>
        <w:tc>
          <w:tcPr>
            <w:tcW w:w="8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September 27,</w:t>
            </w:r>
          </w:p>
        </w:tc>
        <w:tc>
          <w:tcPr>
            <w:tcW w:w="120" w:type="dxa"/>
            <w:vAlign w:val="bottom"/>
          </w:tcPr>
          <w:p>
            <w:pPr>
              <w:spacing w:after="0"/>
              <w:rPr>
                <w:sz w:val="15"/>
                <w:szCs w:val="15"/>
                <w:color w:val="auto"/>
              </w:rPr>
            </w:pPr>
          </w:p>
        </w:tc>
        <w:tc>
          <w:tcPr>
            <w:tcW w:w="1340" w:type="dxa"/>
            <w:vAlign w:val="bottom"/>
          </w:tcPr>
          <w:p>
            <w:pPr>
              <w:jc w:val="right"/>
              <w:ind w:right="30"/>
              <w:spacing w:after="0" w:line="182" w:lineRule="exact"/>
              <w:rPr>
                <w:sz w:val="20"/>
                <w:szCs w:val="20"/>
                <w:color w:val="auto"/>
              </w:rPr>
            </w:pPr>
            <w:r>
              <w:rPr>
                <w:rFonts w:ascii="Arial" w:cs="Arial" w:eastAsia="Arial" w:hAnsi="Arial"/>
                <w:sz w:val="18"/>
                <w:szCs w:val="18"/>
                <w:b w:val="1"/>
                <w:bCs w:val="1"/>
                <w:color w:val="auto"/>
                <w:w w:val="97"/>
              </w:rPr>
              <w:t>September 28,</w:t>
            </w:r>
          </w:p>
        </w:tc>
      </w:tr>
      <w:tr>
        <w:trPr>
          <w:trHeight w:val="243"/>
        </w:trPr>
        <w:tc>
          <w:tcPr>
            <w:tcW w:w="8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2026</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43"/>
        </w:trPr>
        <w:tc>
          <w:tcPr>
            <w:tcW w:w="818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56,035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51,773</w:t>
            </w:r>
          </w:p>
        </w:tc>
      </w:tr>
      <w:tr>
        <w:trPr>
          <w:trHeight w:val="243"/>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Reconciliation to cash flows:</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43"/>
        </w:trPr>
        <w:tc>
          <w:tcPr>
            <w:tcW w:w="8180" w:type="dxa"/>
            <w:vAlign w:val="bottom"/>
          </w:tcPr>
          <w:p>
            <w:pPr>
              <w:ind w:left="68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28,240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25,553</w:t>
            </w:r>
          </w:p>
        </w:tc>
      </w:tr>
      <w:tr>
        <w:trPr>
          <w:trHeight w:val="243"/>
        </w:trPr>
        <w:tc>
          <w:tcPr>
            <w:tcW w:w="81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Change in fair value of earnout liabilities</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w:t>
            </w:r>
          </w:p>
        </w:tc>
      </w:tr>
      <w:tr>
        <w:trPr>
          <w:trHeight w:val="243"/>
        </w:trPr>
        <w:tc>
          <w:tcPr>
            <w:tcW w:w="8180" w:type="dxa"/>
            <w:vAlign w:val="bottom"/>
          </w:tcPr>
          <w:p>
            <w:pPr>
              <w:ind w:left="680"/>
              <w:spacing w:after="0"/>
              <w:rPr>
                <w:sz w:val="20"/>
                <w:szCs w:val="20"/>
                <w:color w:val="auto"/>
              </w:rPr>
            </w:pPr>
            <w:r>
              <w:rPr>
                <w:rFonts w:ascii="Arial" w:cs="Arial" w:eastAsia="Arial" w:hAnsi="Arial"/>
                <w:sz w:val="18"/>
                <w:szCs w:val="18"/>
                <w:color w:val="auto"/>
              </w:rPr>
              <w:t>Operating leases</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2,121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1,881</w:t>
            </w:r>
          </w:p>
        </w:tc>
      </w:tr>
      <w:tr>
        <w:trPr>
          <w:trHeight w:val="243"/>
        </w:trPr>
        <w:tc>
          <w:tcPr>
            <w:tcW w:w="81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Gain on deferred compensation assets</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w:t>
            </w:r>
          </w:p>
        </w:tc>
      </w:tr>
      <w:tr>
        <w:trPr>
          <w:trHeight w:val="243"/>
        </w:trPr>
        <w:tc>
          <w:tcPr>
            <w:tcW w:w="8180" w:type="dxa"/>
            <w:vAlign w:val="bottom"/>
          </w:tcPr>
          <w:p>
            <w:pPr>
              <w:ind w:left="68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1,131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1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Stock compensation expense</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4,587</w:t>
            </w:r>
          </w:p>
        </w:tc>
      </w:tr>
      <w:tr>
        <w:trPr>
          <w:trHeight w:val="243"/>
        </w:trPr>
        <w:tc>
          <w:tcPr>
            <w:tcW w:w="8180" w:type="dxa"/>
            <w:vAlign w:val="bottom"/>
          </w:tcPr>
          <w:p>
            <w:pPr>
              <w:ind w:left="680"/>
              <w:spacing w:after="0"/>
              <w:rPr>
                <w:sz w:val="20"/>
                <w:szCs w:val="20"/>
                <w:color w:val="auto"/>
              </w:rPr>
            </w:pPr>
            <w:r>
              <w:rPr>
                <w:rFonts w:ascii="Arial" w:cs="Arial" w:eastAsia="Arial" w:hAnsi="Arial"/>
                <w:sz w:val="18"/>
                <w:szCs w:val="18"/>
                <w:color w:val="auto"/>
              </w:rPr>
              <w:t>Other, net</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81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Changes in operating accounts providing (using) cash:</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43"/>
        </w:trPr>
        <w:tc>
          <w:tcPr>
            <w:tcW w:w="8180" w:type="dxa"/>
            <w:vAlign w:val="bottom"/>
          </w:tcPr>
          <w:p>
            <w:pPr>
              <w:ind w:left="1120"/>
              <w:spacing w:after="0"/>
              <w:rPr>
                <w:sz w:val="20"/>
                <w:szCs w:val="20"/>
                <w:color w:val="auto"/>
              </w:rPr>
            </w:pPr>
            <w:r>
              <w:rPr>
                <w:rFonts w:ascii="Arial" w:cs="Arial" w:eastAsia="Arial" w:hAnsi="Arial"/>
                <w:sz w:val="18"/>
                <w:szCs w:val="18"/>
                <w:color w:val="auto"/>
              </w:rPr>
              <w:t>Trade receivables</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(9,949)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5,140</w:t>
            </w:r>
          </w:p>
        </w:tc>
      </w:tr>
      <w:tr>
        <w:trPr>
          <w:trHeight w:val="243"/>
        </w:trPr>
        <w:tc>
          <w:tcPr>
            <w:tcW w:w="81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(5,196)</w:t>
            </w:r>
          </w:p>
        </w:tc>
      </w:tr>
      <w:tr>
        <w:trPr>
          <w:trHeight w:val="243"/>
        </w:trPr>
        <w:tc>
          <w:tcPr>
            <w:tcW w:w="8180" w:type="dxa"/>
            <w:vAlign w:val="bottom"/>
          </w:tcPr>
          <w:p>
            <w:pPr>
              <w:ind w:left="112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9,676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(11,013)</w:t>
            </w:r>
          </w:p>
        </w:tc>
      </w:tr>
      <w:tr>
        <w:trPr>
          <w:trHeight w:val="243"/>
        </w:trPr>
        <w:tc>
          <w:tcPr>
            <w:tcW w:w="81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Accrued liabilities</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(4,209)</w:t>
            </w:r>
          </w:p>
        </w:tc>
      </w:tr>
      <w:tr>
        <w:trPr>
          <w:trHeight w:val="243"/>
        </w:trPr>
        <w:tc>
          <w:tcPr>
            <w:tcW w:w="8180" w:type="dxa"/>
            <w:vAlign w:val="bottom"/>
          </w:tcPr>
          <w:p>
            <w:pPr>
              <w:ind w:left="1120"/>
              <w:spacing w:after="0"/>
              <w:rPr>
                <w:sz w:val="20"/>
                <w:szCs w:val="20"/>
                <w:color w:val="auto"/>
              </w:rPr>
            </w:pPr>
            <w:r>
              <w:rPr>
                <w:rFonts w:ascii="Arial" w:cs="Arial" w:eastAsia="Arial" w:hAnsi="Arial"/>
                <w:sz w:val="18"/>
                <w:szCs w:val="18"/>
                <w:color w:val="auto"/>
              </w:rPr>
              <w:t>Lease liabilities</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(2,376)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(1,897)</w:t>
            </w:r>
          </w:p>
        </w:tc>
      </w:tr>
      <w:tr>
        <w:trPr>
          <w:trHeight w:val="243"/>
        </w:trPr>
        <w:tc>
          <w:tcPr>
            <w:tcW w:w="81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Income taxes</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4,082</w:t>
            </w:r>
          </w:p>
        </w:tc>
      </w:tr>
      <w:tr>
        <w:trPr>
          <w:trHeight w:val="243"/>
        </w:trPr>
        <w:tc>
          <w:tcPr>
            <w:tcW w:w="8180" w:type="dxa"/>
            <w:vAlign w:val="bottom"/>
            <w:tcBorders>
              <w:bottom w:val="single" w:sz="8" w:color="CCEEFF"/>
            </w:tcBorders>
          </w:tcPr>
          <w:p>
            <w:pPr>
              <w:ind w:left="1120"/>
              <w:spacing w:after="0"/>
              <w:rPr>
                <w:sz w:val="20"/>
                <w:szCs w:val="20"/>
                <w:color w:val="auto"/>
              </w:rPr>
            </w:pPr>
            <w:r>
              <w:rPr>
                <w:rFonts w:ascii="Arial" w:cs="Arial" w:eastAsia="Arial" w:hAnsi="Arial"/>
                <w:sz w:val="18"/>
                <w:szCs w:val="18"/>
                <w:color w:val="auto"/>
              </w:rPr>
              <w:t>Other, net</w:t>
            </w: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2,801</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3,034</w:t>
            </w:r>
          </w:p>
        </w:tc>
      </w:tr>
      <w:tr>
        <w:trPr>
          <w:trHeight w:val="236"/>
        </w:trPr>
        <w:tc>
          <w:tcPr>
            <w:tcW w:w="818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75,488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71,031</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43"/>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property, plant, and equipment</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(24,342)</w:t>
            </w:r>
          </w:p>
        </w:tc>
      </w:tr>
      <w:tr>
        <w:trPr>
          <w:trHeight w:val="243"/>
        </w:trPr>
        <w:tc>
          <w:tcPr>
            <w:tcW w:w="8180" w:type="dxa"/>
            <w:vAlign w:val="bottom"/>
          </w:tcPr>
          <w:p>
            <w:pPr>
              <w:ind w:left="360"/>
              <w:spacing w:after="0"/>
              <w:rPr>
                <w:sz w:val="20"/>
                <w:szCs w:val="20"/>
                <w:color w:val="auto"/>
              </w:rPr>
            </w:pPr>
            <w:r>
              <w:rPr>
                <w:rFonts w:ascii="Arial" w:cs="Arial" w:eastAsia="Arial" w:hAnsi="Arial"/>
                <w:sz w:val="18"/>
                <w:szCs w:val="18"/>
                <w:color w:val="auto"/>
              </w:rPr>
              <w:t>Acquisitions</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(162,508)</w:t>
            </w:r>
          </w:p>
        </w:tc>
      </w:tr>
      <w:tr>
        <w:trPr>
          <w:trHeight w:val="243"/>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asset disposals</w:t>
            </w:r>
          </w:p>
        </w:tc>
        <w:tc>
          <w:tcPr>
            <w:tcW w:w="1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w:t>
            </w:r>
          </w:p>
        </w:tc>
      </w:tr>
      <w:tr>
        <w:trPr>
          <w:trHeight w:val="237"/>
        </w:trPr>
        <w:tc>
          <w:tcPr>
            <w:tcW w:w="8180" w:type="dxa"/>
            <w:vAlign w:val="bottom"/>
          </w:tcPr>
          <w:p>
            <w:pPr>
              <w:ind w:left="144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(27,038)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(185,813)</w:t>
            </w:r>
          </w:p>
        </w:tc>
      </w:tr>
      <w:tr>
        <w:trPr>
          <w:trHeight w:val="24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43"/>
        </w:trPr>
        <w:tc>
          <w:tcPr>
            <w:tcW w:w="8180" w:type="dxa"/>
            <w:vAlign w:val="bottom"/>
          </w:tcPr>
          <w:p>
            <w:pPr>
              <w:ind w:left="360"/>
              <w:spacing w:after="0"/>
              <w:rPr>
                <w:sz w:val="20"/>
                <w:szCs w:val="20"/>
                <w:color w:val="auto"/>
              </w:rPr>
            </w:pPr>
            <w:r>
              <w:rPr>
                <w:rFonts w:ascii="Arial" w:cs="Arial" w:eastAsia="Arial" w:hAnsi="Arial"/>
                <w:sz w:val="18"/>
                <w:szCs w:val="18"/>
                <w:color w:val="auto"/>
              </w:rPr>
              <w:t>Cash dividends declared and paid</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(8,136)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(7,723)</w:t>
            </w:r>
          </w:p>
        </w:tc>
      </w:tr>
      <w:tr>
        <w:trPr>
          <w:trHeight w:val="243"/>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New shares issued</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w:t>
            </w:r>
          </w:p>
        </w:tc>
      </w:tr>
      <w:tr>
        <w:trPr>
          <w:trHeight w:val="243"/>
        </w:trPr>
        <w:tc>
          <w:tcPr>
            <w:tcW w:w="8180" w:type="dxa"/>
            <w:vAlign w:val="bottom"/>
          </w:tcPr>
          <w:p>
            <w:pPr>
              <w:ind w:left="360"/>
              <w:spacing w:after="0"/>
              <w:rPr>
                <w:sz w:val="20"/>
                <w:szCs w:val="20"/>
                <w:color w:val="auto"/>
              </w:rPr>
            </w:pPr>
            <w:r>
              <w:rPr>
                <w:rFonts w:ascii="Arial" w:cs="Arial" w:eastAsia="Arial" w:hAnsi="Arial"/>
                <w:sz w:val="18"/>
                <w:szCs w:val="18"/>
                <w:color w:val="auto"/>
              </w:rPr>
              <w:t>Payroll taxes paid in exchange for shares withheld</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(5,143)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(3,028)</w:t>
            </w:r>
          </w:p>
        </w:tc>
      </w:tr>
      <w:tr>
        <w:trPr>
          <w:trHeight w:val="243"/>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repurchased</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180" w:type="dxa"/>
            <w:vAlign w:val="bottom"/>
          </w:tcPr>
          <w:p>
            <w:pPr>
              <w:ind w:left="360"/>
              <w:spacing w:after="0"/>
              <w:rPr>
                <w:sz w:val="20"/>
                <w:szCs w:val="20"/>
                <w:color w:val="auto"/>
              </w:rPr>
            </w:pPr>
            <w:r>
              <w:rPr>
                <w:rFonts w:ascii="Arial" w:cs="Arial" w:eastAsia="Arial" w:hAnsi="Arial"/>
                <w:sz w:val="18"/>
                <w:szCs w:val="18"/>
                <w:color w:val="auto"/>
              </w:rPr>
              <w:t>Payments on senior secured revolving loan</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(40,000)</w:t>
            </w:r>
          </w:p>
        </w:tc>
      </w:tr>
      <w:tr>
        <w:trPr>
          <w:trHeight w:val="243"/>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Payments for debt issuance costs</w:t>
            </w:r>
          </w:p>
        </w:tc>
        <w:tc>
          <w:tcPr>
            <w:tcW w:w="12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r>
      <w:tr>
        <w:trPr>
          <w:trHeight w:val="243"/>
        </w:trPr>
        <w:tc>
          <w:tcPr>
            <w:tcW w:w="8180" w:type="dxa"/>
            <w:vAlign w:val="bottom"/>
          </w:tcPr>
          <w:p>
            <w:pPr>
              <w:ind w:left="360"/>
              <w:spacing w:after="0"/>
              <w:rPr>
                <w:sz w:val="20"/>
                <w:szCs w:val="20"/>
                <w:color w:val="auto"/>
              </w:rPr>
            </w:pPr>
            <w:r>
              <w:rPr>
                <w:rFonts w:ascii="Arial" w:cs="Arial" w:eastAsia="Arial" w:hAnsi="Arial"/>
                <w:sz w:val="18"/>
                <w:szCs w:val="18"/>
                <w:color w:val="auto"/>
              </w:rPr>
              <w:t>Borrowings on senior secured revolving loan</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170,000</w:t>
            </w:r>
          </w:p>
        </w:tc>
      </w:tr>
      <w:tr>
        <w:trPr>
          <w:trHeight w:val="243"/>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8180" w:type="dxa"/>
            <w:vAlign w:val="bottom"/>
            <w:tcBorders>
              <w:bottom w:val="single" w:sz="8" w:color="CCEEFF"/>
            </w:tcBorders>
          </w:tcPr>
          <w:p>
            <w:pPr>
              <w:ind w:left="1440"/>
              <w:spacing w:after="0"/>
              <w:rPr>
                <w:sz w:val="20"/>
                <w:szCs w:val="20"/>
                <w:color w:val="auto"/>
              </w:rPr>
            </w:pPr>
            <w:r>
              <w:rPr>
                <w:rFonts w:ascii="Arial" w:cs="Arial" w:eastAsia="Arial" w:hAnsi="Arial"/>
                <w:sz w:val="18"/>
                <w:szCs w:val="18"/>
                <w:color w:val="auto"/>
              </w:rPr>
              <w:t>Net cash (used in) provided by financing activities</w:t>
            </w: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(45,264)</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120,094</w:t>
            </w:r>
          </w:p>
        </w:tc>
      </w:tr>
      <w:tr>
        <w:trPr>
          <w:trHeight w:val="23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5,312</w:t>
            </w:r>
          </w:p>
        </w:tc>
      </w:tr>
      <w:tr>
        <w:trPr>
          <w:trHeight w:val="243"/>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3,914</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5,103</w:t>
            </w:r>
          </w:p>
        </w:tc>
      </w:tr>
      <w:tr>
        <w:trPr>
          <w:trHeight w:val="262"/>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DISCLOSURES OF CASH FLOW INFORMATION</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43"/>
        </w:trPr>
        <w:tc>
          <w:tcPr>
            <w:tcW w:w="8180" w:type="dxa"/>
            <w:vAlign w:val="bottom"/>
          </w:tcPr>
          <w:p>
            <w:pPr>
              <w:ind w:left="360"/>
              <w:spacing w:after="0"/>
              <w:rPr>
                <w:sz w:val="20"/>
                <w:szCs w:val="20"/>
                <w:color w:val="auto"/>
              </w:rPr>
            </w:pPr>
            <w:r>
              <w:rPr>
                <w:rFonts w:ascii="Arial" w:cs="Arial" w:eastAsia="Arial" w:hAnsi="Arial"/>
                <w:sz w:val="18"/>
                <w:szCs w:val="18"/>
                <w:color w:val="auto"/>
              </w:rPr>
              <w:t>Cash paid for income taxes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14,512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13,980</w:t>
            </w:r>
          </w:p>
        </w:tc>
      </w:tr>
      <w:tr>
        <w:trPr>
          <w:trHeight w:val="243"/>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for interest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7,182</w:t>
            </w:r>
          </w:p>
        </w:tc>
      </w:tr>
      <w:tr>
        <w:trPr>
          <w:trHeight w:val="247"/>
        </w:trPr>
        <w:tc>
          <w:tcPr>
            <w:tcW w:w="8180" w:type="dxa"/>
            <w:vAlign w:val="bottom"/>
          </w:tcPr>
          <w:p>
            <w:pPr>
              <w:ind w:left="360"/>
              <w:spacing w:after="0"/>
              <w:rPr>
                <w:sz w:val="20"/>
                <w:szCs w:val="20"/>
                <w:color w:val="auto"/>
              </w:rPr>
            </w:pPr>
            <w:r>
              <w:rPr>
                <w:rFonts w:ascii="Arial" w:cs="Arial" w:eastAsia="Arial" w:hAnsi="Arial"/>
                <w:sz w:val="18"/>
                <w:szCs w:val="18"/>
                <w:color w:val="auto"/>
              </w:rPr>
              <w:t>Noncash investing activities - capital expenditures in accounts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2,273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1,568</w:t>
            </w:r>
          </w:p>
        </w:tc>
      </w:tr>
    </w:tbl>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w:t>
      </w:r>
    </w:p>
    <w:p>
      <w:pPr>
        <w:spacing w:after="0" w:line="117" w:lineRule="exact"/>
        <w:rPr>
          <w:sz w:val="20"/>
          <w:szCs w:val="20"/>
          <w:color w:val="auto"/>
        </w:rPr>
      </w:pPr>
    </w:p>
    <w:p>
      <w:pPr>
        <w:jc w:val="both"/>
        <w:spacing w:after="0" w:line="255" w:lineRule="auto"/>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Basis of Presentation. </w:t>
      </w:r>
      <w:r>
        <w:rPr>
          <w:rFonts w:ascii="Arial" w:cs="Arial" w:eastAsia="Arial" w:hAnsi="Arial"/>
          <w:sz w:val="18"/>
          <w:szCs w:val="18"/>
          <w:color w:val="auto"/>
        </w:rPr>
        <w:t>The accompanying unaudited condensed consolidated financial statements have been prepared in accordance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instructions for Form 10-Q and, accordingly, do not include all information and footnotes required by generally accepted accounting principles for complete financial statements. These financial statements should be read in conjunction with the consolidated financial statements and footnotes included in our </w:t>
      </w:r>
      <w:hyperlink r:id="rId19">
        <w:r>
          <w:rPr>
            <w:rFonts w:ascii="Arial" w:cs="Arial" w:eastAsia="Arial" w:hAnsi="Arial"/>
            <w:sz w:val="18"/>
            <w:szCs w:val="18"/>
            <w:u w:val="single" w:color="auto"/>
            <w:color w:val="0000FF"/>
          </w:rPr>
          <w:t>Annual Report on Form 10-K for the fiscal year ended March 29, 2026</w:t>
        </w:r>
      </w:hyperlink>
      <w:r>
        <w:rPr>
          <w:rFonts w:ascii="Arial" w:cs="Arial" w:eastAsia="Arial" w:hAnsi="Arial"/>
          <w:sz w:val="18"/>
          <w:szCs w:val="18"/>
          <w:color w:val="auto"/>
        </w:rPr>
        <w:t>, previously filed with the Securities and Exchange Commission (“SEC”). In the opinion of management, the accompanying unaudited condensed consolidated financial statements contain all adjustments necessary to present fairly our financial position and the results of our operations and cash flows for the periods presented. All adjustments made to the interim condensed consolidated financial statements were of a normal recurring nature. All significant intercompany accounts and transactions have been eliminated in consolidation. The results of operations for the six months ended September 27, 2026 are not necessarily indicative of the results that may be expected for the full year.</w:t>
      </w:r>
    </w:p>
    <w:p>
      <w:pPr>
        <w:spacing w:after="0" w:line="7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used in this Form 10-Q, except where otherwise stated or indicated by the context, "Hawkins," "we," "us," "the Company," or "our" means Hawkins, Inc. and its subsidiaries. References to "fiscal 2024" refer to the fiscal year ended March 31, 2024, references to "fiscal 2026" refer to the fiscal year ended March 29, 2026, and references to "fiscal 2027" refer to the fiscal year ending March 28, 2027.</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Use of Estimates. </w:t>
      </w:r>
      <w:r>
        <w:rPr>
          <w:rFonts w:ascii="Arial" w:cs="Arial" w:eastAsia="Arial" w:hAnsi="Arial"/>
          <w:sz w:val="18"/>
          <w:szCs w:val="18"/>
          <w:color w:val="auto"/>
        </w:rPr>
        <w:t>The preparation of condensed consolidated financial statements in conformity with accounting principles generally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accepted in the United States requires management to make estimates and assumptions that affect the reported amounts of assets and liabilities, particularly receivables, inventories, property, plant and equipment, right-of-use assets, goodwill, intangibles, deferred compensation plan assets, accrued expenses, environmental remediations, short-term and long-term lease liabilities, pension withdrawal liability, deferred compensation liability, earnout liability, income taxes and related accounts and the reported amounts of revenues and expenses during the reporting period. Actual results could differ from those estimates.</w:t>
      </w:r>
    </w:p>
    <w:p>
      <w:pPr>
        <w:spacing w:after="0" w:line="74" w:lineRule="exact"/>
        <w:rPr>
          <w:sz w:val="20"/>
          <w:szCs w:val="20"/>
          <w:color w:val="auto"/>
        </w:rPr>
      </w:pPr>
    </w:p>
    <w:p>
      <w:pPr>
        <w:jc w:val="both"/>
        <w:ind w:right="20"/>
        <w:spacing w:after="0" w:line="268" w:lineRule="auto"/>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Accounting Policies. </w:t>
      </w:r>
      <w:r>
        <w:rPr>
          <w:rFonts w:ascii="Arial" w:cs="Arial" w:eastAsia="Arial" w:hAnsi="Arial"/>
          <w:sz w:val="18"/>
          <w:szCs w:val="18"/>
          <w:color w:val="auto"/>
        </w:rPr>
        <w:t>The accounting policies we follow are set forth in Note 1 – Nature of Business and Significant Accounting Policies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our consolidated financial statements in our </w:t>
      </w:r>
      <w:hyperlink r:id="rId19">
        <w:r>
          <w:rPr>
            <w:rFonts w:ascii="Arial" w:cs="Arial" w:eastAsia="Arial" w:hAnsi="Arial"/>
            <w:sz w:val="18"/>
            <w:szCs w:val="18"/>
            <w:u w:val="single" w:color="auto"/>
            <w:color w:val="0000FF"/>
          </w:rPr>
          <w:t>Annual Report on Form 10-K for fiscal 2026</w:t>
        </w:r>
      </w:hyperlink>
      <w:r>
        <w:rPr>
          <w:rFonts w:ascii="Arial" w:cs="Arial" w:eastAsia="Arial" w:hAnsi="Arial"/>
          <w:sz w:val="18"/>
          <w:szCs w:val="18"/>
          <w:color w:val="auto"/>
        </w:rPr>
        <w:t>, previously filed with the SEC. There have been no significant changes in our accounting policies since the end of fiscal 2026.</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Financial Accounting Standards Board ("FASB") periodically issues Accounting Standards Updates ("ASUs") that amend the Financial Accounting Standards Codification ("ASC"). We evaluate the impact of the newly issued accounting guidance to determine the effect, if any, on our consolidated financial statements and related disclosures.</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December 2025, the FASB issued </w:t>
      </w:r>
      <w:r>
        <w:rPr>
          <w:rFonts w:ascii="Arial" w:cs="Arial" w:eastAsia="Arial" w:hAnsi="Arial"/>
          <w:sz w:val="18"/>
          <w:szCs w:val="18"/>
          <w:b w:val="1"/>
          <w:bCs w:val="1"/>
          <w:color w:val="auto"/>
        </w:rPr>
        <w:t>ASU No. 2025-11,</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Interim Reporting (Topic 270): Narrow-Scope Improvements</w:t>
      </w:r>
      <w:r>
        <w:rPr>
          <w:rFonts w:ascii="Arial" w:cs="Arial" w:eastAsia="Arial" w:hAnsi="Arial"/>
          <w:sz w:val="18"/>
          <w:szCs w:val="18"/>
          <w:color w:val="auto"/>
        </w:rPr>
        <w:t>, which clarifies interim reporting requirements, improves the organization of interim disclosure guidance, and introduces a disclosure principle for material events occurring since the end of the last annual reporting period. The guidance is effective for interim periods in fiscal years beginning after December 15, 2027, our fiscal 2029. We are currently evaluating the impact that the adoption of this ASU may have on our consolidated financial statements and interim disclosures in our first quarter, fiscal 2029 Form 10-Q and periodic reports thereafter.</w:t>
      </w:r>
    </w:p>
    <w:p>
      <w:pPr>
        <w:spacing w:after="0" w:line="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September 2025, the FASB issued </w:t>
      </w:r>
      <w:r>
        <w:rPr>
          <w:rFonts w:ascii="Arial" w:cs="Arial" w:eastAsia="Arial" w:hAnsi="Arial"/>
          <w:sz w:val="18"/>
          <w:szCs w:val="18"/>
          <w:b w:val="1"/>
          <w:bCs w:val="1"/>
          <w:color w:val="auto"/>
        </w:rPr>
        <w:t>ASU 2025-06,</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Intangibles, Goodwill, and Other Internal-Use Software (Subtopic 350-40):</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Targeted Improvements</w:t>
      </w:r>
      <w:r>
        <w:rPr>
          <w:rFonts w:ascii="Arial" w:cs="Arial" w:eastAsia="Arial" w:hAnsi="Arial"/>
          <w:sz w:val="18"/>
          <w:szCs w:val="18"/>
          <w:color w:val="auto"/>
        </w:rPr>
        <w:t>, which modernizes the recognition guidance requiring entities to begin capitalizing software costs when both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occur: (1) Management has authorized and committed funding to the software project and (2) It is probable that the project will be completed and the software will be used to perform the function intended. ASU 2025-06 is effective for annual periods beginning after December 15, 2027, our fiscal 2029, and interim periods within those annual reporting periods, with early adoption permitted. We are currently evaluating the impact of the adoption of this standard on our consolidated financial statement disclosures in our first quarter, fiscal 2029 10-Q and periodic reports thereafter.</w:t>
      </w:r>
    </w:p>
    <w:p>
      <w:pPr>
        <w:spacing w:after="0" w:line="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November 2024, the FASB issued </w:t>
      </w:r>
      <w:r>
        <w:rPr>
          <w:rFonts w:ascii="Arial" w:cs="Arial" w:eastAsia="Arial" w:hAnsi="Arial"/>
          <w:sz w:val="18"/>
          <w:szCs w:val="18"/>
          <w:b w:val="1"/>
          <w:bCs w:val="1"/>
          <w:color w:val="auto"/>
        </w:rPr>
        <w:t>ASU 2024-03, Disaggregation of Income Statement Expenses</w:t>
      </w:r>
      <w:r>
        <w:rPr>
          <w:rFonts w:ascii="Arial" w:cs="Arial" w:eastAsia="Arial" w:hAnsi="Arial"/>
          <w:sz w:val="18"/>
          <w:szCs w:val="18"/>
          <w:color w:val="auto"/>
        </w:rPr>
        <w:t>, which requires public entities to disclose, within the footnotes to the financial statements, disaggregated information about certain income statement expense captions, including disclosure of amounts for purchases of inventory, employee compensation, depreciation and intangible asset amortization, included in each relevant expense caption. ASU 2024-03 is effective for annual periods beginning after December 15, 2026, our fiscal 2028, and interim periods within fiscal years beginning after December 15, 2027, our fiscal 2029, on a prospective basis, with early adoption and retrospective application permitted. We are currently evaluating the impact of the adoption of this standard on our consolidated financial statement disclosures in our Form 10-K for fiscal 2028 and periodic reports thereafter.</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2 — 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generally pursue business combinations to strengthen our position in existing markets, increase our market share and product offerings and expand into new markets. Acquisitions are accounted for under the acquisition method of accounting. For each acquisition, the excess of the purchase consideration over the fair value of the net assets acquired and liabilities assumed is recorded as goodwill, which generally represents the combined value of our existing resources with the organizational talent of the acquired companies’ respective management teams to maximize efficiencies, market share growth and overall financial performance. For each acquisition, we complete our allocation of purchase price to the fair values of acquired assets and liabilities within a one-year measurement period.</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each acquisition completed in fiscal 2027 and fiscal 2026, the results of operations since the acquisition date and the assets are presented in our Water Treatment segment, with the exception of one immaterial acquisition in the second quarter of fiscal 2026 that was in our Food &amp; Health Sciences segment. Costs associated with each acquisition were not material and were expensed as incurred.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2027 Acquisitions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completed two acquisitions in the six months ended September 27, 2026. Individually and in the aggregate, these acquisitions are not material to our condensed consolidated financial statements.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2026 Acquisitions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Acquisition of WaterSurplus, Inc.: </w:t>
      </w:r>
      <w:r>
        <w:rPr>
          <w:rFonts w:ascii="Arial" w:cs="Arial" w:eastAsia="Arial" w:hAnsi="Arial"/>
          <w:sz w:val="18"/>
          <w:szCs w:val="18"/>
          <w:color w:val="auto"/>
        </w:rPr>
        <w:t>On April 25, 2025, we acquired substantially all of the assets and assumed certain liabilities of Surplus</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Inc. d/b/a WaterSurplus (“WaterSurplus”) for an initial purchase price of approximately $149.9 million under the terms of an asset purchase agreement by and among WaterSurplus and related entities and their shareholders, Panther Acquisition Corporation, and Hawkins, Inc., as well as a related real estate purchase agreement. In addition, we may be obligated to pay an additional earnout amount based on a target of accumulated gross profit for the first five years after the acquisition. The maximum earnout liability of $ 53.7 million was discounted and recorded at the estimated present value of $ 43.0 million at the acquisition date. The recognition of the earnout liability represented a noncash investing activity, as no cash was paid at inception. WaterSurplus is based in Rockford, IL and delivers sustainable water treatment solutions to customers throughout the United States.</w:t>
      </w:r>
    </w:p>
    <w:p>
      <w:pPr>
        <w:spacing w:after="0" w:line="7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summarizes the purchase consideration and fair values of assets acquired and liabilities assumed as of the date of acquisition:</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2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6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44"/>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w:t>
            </w: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149,876</w:t>
            </w:r>
          </w:p>
        </w:tc>
      </w:tr>
      <w:tr>
        <w:trPr>
          <w:trHeight w:val="243"/>
        </w:trPr>
        <w:tc>
          <w:tcPr>
            <w:tcW w:w="9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Present value of earnout liability</w:t>
            </w:r>
          </w:p>
        </w:tc>
        <w:tc>
          <w:tcPr>
            <w:tcW w:w="6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43,000</w:t>
            </w:r>
          </w:p>
        </w:tc>
      </w:tr>
      <w:tr>
        <w:trPr>
          <w:trHeight w:val="261"/>
        </w:trPr>
        <w:tc>
          <w:tcPr>
            <w:tcW w:w="9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purchase consideration</w:t>
            </w: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192,876</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9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40" w:type="dxa"/>
            <w:vAlign w:val="bottom"/>
          </w:tcPr>
          <w:p>
            <w:pPr>
              <w:spacing w:after="0"/>
              <w:rPr>
                <w:sz w:val="8"/>
                <w:szCs w:val="8"/>
                <w:color w:val="auto"/>
              </w:rPr>
            </w:pPr>
          </w:p>
        </w:tc>
      </w:tr>
      <w:tr>
        <w:trPr>
          <w:trHeight w:val="243"/>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accounts receivable</w:t>
            </w: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w:t>
            </w:r>
          </w:p>
        </w:tc>
      </w:tr>
      <w:tr>
        <w:trPr>
          <w:trHeight w:val="243"/>
        </w:trPr>
        <w:tc>
          <w:tcPr>
            <w:tcW w:w="926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6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4,325</w:t>
            </w:r>
          </w:p>
        </w:tc>
      </w:tr>
      <w:tr>
        <w:trPr>
          <w:trHeight w:val="243"/>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6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r>
      <w:tr>
        <w:trPr>
          <w:trHeight w:val="243"/>
        </w:trPr>
        <w:tc>
          <w:tcPr>
            <w:tcW w:w="926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6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12,887</w:t>
            </w:r>
          </w:p>
        </w:tc>
      </w:tr>
      <w:tr>
        <w:trPr>
          <w:trHeight w:val="243"/>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6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43"/>
        </w:trPr>
        <w:tc>
          <w:tcPr>
            <w:tcW w:w="9260" w:type="dxa"/>
            <w:vAlign w:val="bottom"/>
          </w:tcPr>
          <w:p>
            <w:pPr>
              <w:ind w:left="360"/>
              <w:spacing w:after="0"/>
              <w:rPr>
                <w:sz w:val="20"/>
                <w:szCs w:val="20"/>
                <w:color w:val="auto"/>
              </w:rPr>
            </w:pPr>
            <w:r>
              <w:rPr>
                <w:rFonts w:ascii="Arial" w:cs="Arial" w:eastAsia="Arial" w:hAnsi="Arial"/>
                <w:sz w:val="18"/>
                <w:szCs w:val="18"/>
                <w:color w:val="auto"/>
              </w:rPr>
              <w:t>Customer relationships</w:t>
            </w:r>
          </w:p>
        </w:tc>
        <w:tc>
          <w:tcPr>
            <w:tcW w:w="6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76,000</w:t>
            </w:r>
          </w:p>
        </w:tc>
      </w:tr>
      <w:tr>
        <w:trPr>
          <w:trHeight w:val="243"/>
        </w:trPr>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Trade names</w:t>
            </w:r>
          </w:p>
        </w:tc>
        <w:tc>
          <w:tcPr>
            <w:tcW w:w="6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w:t>
            </w:r>
          </w:p>
        </w:tc>
      </w:tr>
      <w:tr>
        <w:trPr>
          <w:trHeight w:val="243"/>
        </w:trPr>
        <w:tc>
          <w:tcPr>
            <w:tcW w:w="9260" w:type="dxa"/>
            <w:vAlign w:val="bottom"/>
          </w:tcPr>
          <w:p>
            <w:pPr>
              <w:ind w:left="360"/>
              <w:spacing w:after="0"/>
              <w:rPr>
                <w:sz w:val="20"/>
                <w:szCs w:val="20"/>
                <w:color w:val="auto"/>
              </w:rPr>
            </w:pPr>
            <w:r>
              <w:rPr>
                <w:rFonts w:ascii="Arial" w:cs="Arial" w:eastAsia="Arial" w:hAnsi="Arial"/>
                <w:sz w:val="18"/>
                <w:szCs w:val="18"/>
                <w:color w:val="auto"/>
              </w:rPr>
              <w:t>Technology</w:t>
            </w:r>
          </w:p>
        </w:tc>
        <w:tc>
          <w:tcPr>
            <w:tcW w:w="6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12,000</w:t>
            </w:r>
          </w:p>
        </w:tc>
      </w:tr>
      <w:tr>
        <w:trPr>
          <w:trHeight w:val="243"/>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 trade</w:t>
            </w:r>
          </w:p>
        </w:tc>
        <w:tc>
          <w:tcPr>
            <w:tcW w:w="6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w:t>
            </w:r>
          </w:p>
        </w:tc>
      </w:tr>
      <w:tr>
        <w:trPr>
          <w:trHeight w:val="243"/>
        </w:trPr>
        <w:tc>
          <w:tcPr>
            <w:tcW w:w="9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current liabilities</w:t>
            </w:r>
          </w:p>
        </w:tc>
        <w:tc>
          <w:tcPr>
            <w:tcW w:w="6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(2,934)</w:t>
            </w:r>
          </w:p>
        </w:tc>
      </w:tr>
      <w:tr>
        <w:trPr>
          <w:trHeight w:val="261"/>
        </w:trPr>
        <w:tc>
          <w:tcPr>
            <w:tcW w:w="9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fair value of assets acquired and liabilities assumed</w:t>
            </w: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110,272</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96"/>
        </w:trPr>
        <w:tc>
          <w:tcPr>
            <w:tcW w:w="9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40" w:type="dxa"/>
            <w:vAlign w:val="bottom"/>
          </w:tcPr>
          <w:p>
            <w:pPr>
              <w:spacing w:after="0"/>
              <w:rPr>
                <w:sz w:val="8"/>
                <w:szCs w:val="8"/>
                <w:color w:val="auto"/>
              </w:rPr>
            </w:pPr>
          </w:p>
        </w:tc>
      </w:tr>
      <w:tr>
        <w:trPr>
          <w:trHeight w:val="243"/>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82,604</w:t>
            </w:r>
          </w:p>
        </w:tc>
      </w:tr>
    </w:tbl>
    <w:p>
      <w:pPr>
        <w:spacing w:after="0" w:line="18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expected useful lives of the acquired intangible assets are 15 years for customer relationships, 15 years for trade names and 10 years for technology. The goodwill recognized as a result of this acquisition is expected to be deductible for tax purposes. We have completed the purchase price allocation. The results of operations since the acquisition date and the assets are included in our Water Treatment segment. Costs associated with this transaction were not material and were expensed as incurred.</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completed five additional acquisitions in fiscal 2026. Individually and in the aggregate, these acquisitions are not material to our condensed consolidated financial statements.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3 - Revenue</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revenue arrangements generally consist of a single performance obligation to transfer promised goods or services. We disaggregate revenues from contracts with customers by operating segments as well as types of products sold. Reporting by operating segment is pertinent to understanding our revenues, as it aligns to how we review the financial performance of our operations. Types of products sold within each operating segment help us to further evaluate the financial performance of our segments.</w:t>
      </w:r>
    </w:p>
    <w:p>
      <w:pPr>
        <w:spacing w:after="0" w:line="68"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following tables disaggregate external customer net sales by major revenue stream for the three and six months ended September 27, 2026 and September 28, 2025:</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9"/>
          </w:tcPr>
          <w:p>
            <w:pPr>
              <w:jc w:val="right"/>
              <w:ind w:right="170"/>
              <w:spacing w:after="0"/>
              <w:rPr>
                <w:sz w:val="20"/>
                <w:szCs w:val="20"/>
                <w:color w:val="auto"/>
              </w:rPr>
            </w:pPr>
            <w:r>
              <w:rPr>
                <w:rFonts w:ascii="Arial" w:cs="Arial" w:eastAsia="Arial" w:hAnsi="Arial"/>
                <w:sz w:val="16"/>
                <w:szCs w:val="16"/>
                <w:b w:val="1"/>
                <w:bCs w:val="1"/>
                <w:color w:val="auto"/>
              </w:rPr>
              <w:t>Three months ended September 27, 2026</w:t>
            </w:r>
          </w:p>
        </w:tc>
        <w:tc>
          <w:tcPr>
            <w:tcW w:w="10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5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ind w:right="32"/>
              <w:spacing w:after="0" w:line="169" w:lineRule="exact"/>
              <w:rPr>
                <w:sz w:val="20"/>
                <w:szCs w:val="20"/>
                <w:color w:val="auto"/>
              </w:rPr>
            </w:pPr>
            <w:r>
              <w:rPr>
                <w:rFonts w:ascii="Arial" w:cs="Arial" w:eastAsia="Arial" w:hAnsi="Arial"/>
                <w:sz w:val="16"/>
                <w:szCs w:val="16"/>
                <w:b w:val="1"/>
                <w:bCs w:val="1"/>
                <w:color w:val="auto"/>
                <w:w w:val="98"/>
              </w:rPr>
              <w:t>Water</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40"/>
              <w:spacing w:after="0" w:line="169" w:lineRule="exact"/>
              <w:rPr>
                <w:sz w:val="20"/>
                <w:szCs w:val="20"/>
                <w:color w:val="auto"/>
              </w:rPr>
            </w:pPr>
            <w:r>
              <w:rPr>
                <w:rFonts w:ascii="Arial" w:cs="Arial" w:eastAsia="Arial" w:hAnsi="Arial"/>
                <w:sz w:val="16"/>
                <w:szCs w:val="16"/>
                <w:b w:val="1"/>
                <w:bCs w:val="1"/>
                <w:color w:val="auto"/>
              </w:rPr>
              <w:t>Food &amp; Health</w:t>
            </w:r>
          </w:p>
        </w:tc>
        <w:tc>
          <w:tcPr>
            <w:tcW w:w="220" w:type="dxa"/>
            <w:vAlign w:val="bottom"/>
          </w:tcPr>
          <w:p>
            <w:pPr>
              <w:spacing w:after="0"/>
              <w:rPr>
                <w:sz w:val="14"/>
                <w:szCs w:val="14"/>
                <w:color w:val="auto"/>
              </w:rPr>
            </w:pPr>
          </w:p>
        </w:tc>
        <w:tc>
          <w:tcPr>
            <w:tcW w:w="1260" w:type="dxa"/>
            <w:vAlign w:val="bottom"/>
            <w:gridSpan w:val="2"/>
          </w:tcPr>
          <w:p>
            <w:pPr>
              <w:ind w:left="100"/>
              <w:spacing w:after="0" w:line="169" w:lineRule="exact"/>
              <w:rPr>
                <w:sz w:val="20"/>
                <w:szCs w:val="20"/>
                <w:color w:val="auto"/>
              </w:rPr>
            </w:pPr>
            <w:r>
              <w:rPr>
                <w:rFonts w:ascii="Arial" w:cs="Arial" w:eastAsia="Arial" w:hAnsi="Arial"/>
                <w:sz w:val="16"/>
                <w:szCs w:val="16"/>
                <w:b w:val="1"/>
                <w:bCs w:val="1"/>
                <w:color w:val="auto"/>
              </w:rPr>
              <w:t>Industrial</w:t>
            </w:r>
          </w:p>
        </w:tc>
        <w:tc>
          <w:tcPr>
            <w:tcW w:w="320" w:type="dxa"/>
            <w:vAlign w:val="bottom"/>
          </w:tcPr>
          <w:p>
            <w:pPr>
              <w:spacing w:after="0"/>
              <w:rPr>
                <w:sz w:val="14"/>
                <w:szCs w:val="14"/>
                <w:color w:val="auto"/>
              </w:rPr>
            </w:pPr>
          </w:p>
        </w:tc>
        <w:tc>
          <w:tcPr>
            <w:tcW w:w="1060" w:type="dxa"/>
            <w:vAlign w:val="bottom"/>
            <w:vMerge w:val="restart"/>
          </w:tcPr>
          <w:p>
            <w:pPr>
              <w:jc w:val="right"/>
              <w:ind w:right="411"/>
              <w:spacing w:after="0"/>
              <w:rPr>
                <w:sz w:val="20"/>
                <w:szCs w:val="20"/>
                <w:color w:val="auto"/>
              </w:rPr>
            </w:pPr>
            <w:r>
              <w:rPr>
                <w:rFonts w:ascii="Arial" w:cs="Arial" w:eastAsia="Arial" w:hAnsi="Arial"/>
                <w:sz w:val="16"/>
                <w:szCs w:val="16"/>
                <w:b w:val="1"/>
                <w:bCs w:val="1"/>
                <w:color w:val="auto"/>
              </w:rPr>
              <w:t>Total</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2"/>
              <w:spacing w:after="0"/>
              <w:rPr>
                <w:sz w:val="20"/>
                <w:szCs w:val="20"/>
                <w:color w:val="auto"/>
              </w:rPr>
            </w:pPr>
            <w:r>
              <w:rPr>
                <w:rFonts w:ascii="Arial" w:cs="Arial" w:eastAsia="Arial" w:hAnsi="Arial"/>
                <w:sz w:val="16"/>
                <w:szCs w:val="16"/>
                <w:b w:val="1"/>
                <w:bCs w:val="1"/>
                <w:color w:val="auto"/>
              </w:rPr>
              <w:t>Treatment</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52"/>
              <w:spacing w:after="0"/>
              <w:rPr>
                <w:sz w:val="20"/>
                <w:szCs w:val="20"/>
                <w:color w:val="auto"/>
              </w:rPr>
            </w:pPr>
            <w:r>
              <w:rPr>
                <w:rFonts w:ascii="Arial" w:cs="Arial" w:eastAsia="Arial" w:hAnsi="Arial"/>
                <w:sz w:val="16"/>
                <w:szCs w:val="16"/>
                <w:b w:val="1"/>
                <w:bCs w:val="1"/>
                <w:color w:val="auto"/>
              </w:rPr>
              <w:t>Sciences</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Solutions</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400" w:type="dxa"/>
            <w:vAlign w:val="bottom"/>
            <w:shd w:val="clear" w:color="auto" w:fill="CCEEFF"/>
          </w:tcPr>
          <w:p>
            <w:pPr>
              <w:ind w:left="20"/>
              <w:spacing w:after="0" w:line="237" w:lineRule="exact"/>
              <w:rPr>
                <w:sz w:val="20"/>
                <w:szCs w:val="20"/>
                <w:color w:val="auto"/>
              </w:rPr>
            </w:pPr>
            <w:r>
              <w:rPr>
                <w:rFonts w:ascii="Arial" w:cs="Arial" w:eastAsia="Arial" w:hAnsi="Arial"/>
                <w:sz w:val="16"/>
                <w:szCs w:val="16"/>
                <w:color w:val="auto"/>
              </w:rPr>
              <w:t xml:space="preserve">Manufactured, blended, repackaged products or equipment </w:t>
            </w:r>
            <w:r>
              <w:rPr>
                <w:rFonts w:ascii="Arial" w:cs="Arial" w:eastAsia="Arial" w:hAnsi="Arial"/>
                <w:sz w:val="21"/>
                <w:szCs w:val="21"/>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153,726</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47,151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200,877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00" w:type="dxa"/>
            <w:vAlign w:val="bottom"/>
          </w:tcPr>
          <w:p>
            <w:pPr>
              <w:ind w:left="20"/>
              <w:spacing w:after="0"/>
              <w:rPr>
                <w:sz w:val="20"/>
                <w:szCs w:val="20"/>
                <w:color w:val="auto"/>
              </w:rPr>
            </w:pPr>
            <w:r>
              <w:rPr>
                <w:rFonts w:ascii="Arial" w:cs="Arial" w:eastAsia="Arial" w:hAnsi="Arial"/>
                <w:sz w:val="16"/>
                <w:szCs w:val="16"/>
                <w:color w:val="auto"/>
              </w:rPr>
              <w:t xml:space="preserve">Bulk products </w:t>
            </w:r>
            <w:r>
              <w:rPr>
                <w:rFonts w:ascii="Arial" w:cs="Arial" w:eastAsia="Arial" w:hAnsi="Arial"/>
                <w:sz w:val="21"/>
                <w:szCs w:val="21"/>
                <w:color w:val="auto"/>
                <w:vertAlign w:val="superscript"/>
              </w:rPr>
              <w:t>(2)</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18,728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13,397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32,125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Nutrition</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35,831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0" w:type="dxa"/>
            <w:vAlign w:val="bottom"/>
          </w:tcPr>
          <w:p>
            <w:pPr>
              <w:ind w:left="20"/>
              <w:spacing w:after="0"/>
              <w:rPr>
                <w:sz w:val="20"/>
                <w:szCs w:val="20"/>
                <w:color w:val="auto"/>
              </w:rPr>
            </w:pPr>
            <w:r>
              <w:rPr>
                <w:rFonts w:ascii="Arial" w:cs="Arial" w:eastAsia="Arial" w:hAnsi="Arial"/>
                <w:sz w:val="16"/>
                <w:szCs w:val="16"/>
                <w:color w:val="auto"/>
              </w:rPr>
              <w:t>Food</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25,290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25,290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Pharmaceutical</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0" w:type="dxa"/>
            <w:vAlign w:val="bottom"/>
          </w:tcPr>
          <w:p>
            <w:pPr>
              <w:ind w:left="20"/>
              <w:spacing w:after="0"/>
              <w:rPr>
                <w:sz w:val="20"/>
                <w:szCs w:val="20"/>
                <w:color w:val="auto"/>
              </w:rPr>
            </w:pPr>
            <w:r>
              <w:rPr>
                <w:rFonts w:ascii="Arial" w:cs="Arial" w:eastAsia="Arial" w:hAnsi="Arial"/>
                <w:sz w:val="16"/>
                <w:szCs w:val="16"/>
                <w:color w:val="auto"/>
              </w:rPr>
              <w:t>Agricultural</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7,401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2,507</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400" w:type="dxa"/>
            <w:vAlign w:val="bottom"/>
          </w:tcPr>
          <w:p>
            <w:pPr>
              <w:ind w:left="20"/>
              <w:spacing w:after="0"/>
              <w:rPr>
                <w:sz w:val="20"/>
                <w:szCs w:val="20"/>
                <w:color w:val="auto"/>
              </w:rPr>
            </w:pPr>
            <w:r>
              <w:rPr>
                <w:rFonts w:ascii="Arial" w:cs="Arial" w:eastAsia="Arial" w:hAnsi="Arial"/>
                <w:sz w:val="16"/>
                <w:szCs w:val="16"/>
                <w:color w:val="auto"/>
              </w:rPr>
              <w:t>Total external customer sales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174,961</w:t>
            </w: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76,679</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62,177</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313,817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54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9"/>
          </w:tcPr>
          <w:p>
            <w:pPr>
              <w:jc w:val="right"/>
              <w:ind w:right="170"/>
              <w:spacing w:after="0"/>
              <w:rPr>
                <w:sz w:val="20"/>
                <w:szCs w:val="20"/>
                <w:color w:val="auto"/>
              </w:rPr>
            </w:pPr>
            <w:r>
              <w:rPr>
                <w:rFonts w:ascii="Arial" w:cs="Arial" w:eastAsia="Arial" w:hAnsi="Arial"/>
                <w:sz w:val="16"/>
                <w:szCs w:val="16"/>
                <w:b w:val="1"/>
                <w:bCs w:val="1"/>
                <w:color w:val="auto"/>
              </w:rPr>
              <w:t>Three months ended September 28, 2025</w:t>
            </w: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ind w:right="32"/>
              <w:spacing w:after="0" w:line="169" w:lineRule="exact"/>
              <w:rPr>
                <w:sz w:val="20"/>
                <w:szCs w:val="20"/>
                <w:color w:val="auto"/>
              </w:rPr>
            </w:pPr>
            <w:r>
              <w:rPr>
                <w:rFonts w:ascii="Arial" w:cs="Arial" w:eastAsia="Arial" w:hAnsi="Arial"/>
                <w:sz w:val="16"/>
                <w:szCs w:val="16"/>
                <w:b w:val="1"/>
                <w:bCs w:val="1"/>
                <w:color w:val="auto"/>
                <w:w w:val="98"/>
              </w:rPr>
              <w:t>Water</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40"/>
              <w:spacing w:after="0" w:line="169" w:lineRule="exact"/>
              <w:rPr>
                <w:sz w:val="20"/>
                <w:szCs w:val="20"/>
                <w:color w:val="auto"/>
              </w:rPr>
            </w:pPr>
            <w:r>
              <w:rPr>
                <w:rFonts w:ascii="Arial" w:cs="Arial" w:eastAsia="Arial" w:hAnsi="Arial"/>
                <w:sz w:val="16"/>
                <w:szCs w:val="16"/>
                <w:b w:val="1"/>
                <w:bCs w:val="1"/>
                <w:color w:val="auto"/>
              </w:rPr>
              <w:t>Food &amp; Health</w:t>
            </w:r>
          </w:p>
        </w:tc>
        <w:tc>
          <w:tcPr>
            <w:tcW w:w="220" w:type="dxa"/>
            <w:vAlign w:val="bottom"/>
          </w:tcPr>
          <w:p>
            <w:pPr>
              <w:spacing w:after="0"/>
              <w:rPr>
                <w:sz w:val="14"/>
                <w:szCs w:val="14"/>
                <w:color w:val="auto"/>
              </w:rPr>
            </w:pPr>
          </w:p>
        </w:tc>
        <w:tc>
          <w:tcPr>
            <w:tcW w:w="1260" w:type="dxa"/>
            <w:vAlign w:val="bottom"/>
            <w:gridSpan w:val="2"/>
          </w:tcPr>
          <w:p>
            <w:pPr>
              <w:ind w:left="100"/>
              <w:spacing w:after="0" w:line="169" w:lineRule="exact"/>
              <w:rPr>
                <w:sz w:val="20"/>
                <w:szCs w:val="20"/>
                <w:color w:val="auto"/>
              </w:rPr>
            </w:pPr>
            <w:r>
              <w:rPr>
                <w:rFonts w:ascii="Arial" w:cs="Arial" w:eastAsia="Arial" w:hAnsi="Arial"/>
                <w:sz w:val="16"/>
                <w:szCs w:val="16"/>
                <w:b w:val="1"/>
                <w:bCs w:val="1"/>
                <w:color w:val="auto"/>
              </w:rPr>
              <w:t>Industrial</w:t>
            </w:r>
          </w:p>
        </w:tc>
        <w:tc>
          <w:tcPr>
            <w:tcW w:w="320" w:type="dxa"/>
            <w:vAlign w:val="bottom"/>
          </w:tcPr>
          <w:p>
            <w:pPr>
              <w:spacing w:after="0"/>
              <w:rPr>
                <w:sz w:val="14"/>
                <w:szCs w:val="14"/>
                <w:color w:val="auto"/>
              </w:rPr>
            </w:pPr>
          </w:p>
        </w:tc>
        <w:tc>
          <w:tcPr>
            <w:tcW w:w="1060" w:type="dxa"/>
            <w:vAlign w:val="bottom"/>
            <w:vMerge w:val="restart"/>
          </w:tcPr>
          <w:p>
            <w:pPr>
              <w:jc w:val="right"/>
              <w:ind w:right="411"/>
              <w:spacing w:after="0"/>
              <w:rPr>
                <w:sz w:val="20"/>
                <w:szCs w:val="20"/>
                <w:color w:val="auto"/>
              </w:rPr>
            </w:pPr>
            <w:r>
              <w:rPr>
                <w:rFonts w:ascii="Arial" w:cs="Arial" w:eastAsia="Arial" w:hAnsi="Arial"/>
                <w:sz w:val="16"/>
                <w:szCs w:val="16"/>
                <w:b w:val="1"/>
                <w:bCs w:val="1"/>
                <w:color w:val="auto"/>
              </w:rPr>
              <w:t>Total</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2"/>
              <w:spacing w:after="0"/>
              <w:rPr>
                <w:sz w:val="20"/>
                <w:szCs w:val="20"/>
                <w:color w:val="auto"/>
              </w:rPr>
            </w:pPr>
            <w:r>
              <w:rPr>
                <w:rFonts w:ascii="Arial" w:cs="Arial" w:eastAsia="Arial" w:hAnsi="Arial"/>
                <w:sz w:val="16"/>
                <w:szCs w:val="16"/>
                <w:b w:val="1"/>
                <w:bCs w:val="1"/>
                <w:color w:val="auto"/>
              </w:rPr>
              <w:t>Treatment</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52"/>
              <w:spacing w:after="0"/>
              <w:rPr>
                <w:sz w:val="20"/>
                <w:szCs w:val="20"/>
                <w:color w:val="auto"/>
              </w:rPr>
            </w:pPr>
            <w:r>
              <w:rPr>
                <w:rFonts w:ascii="Arial" w:cs="Arial" w:eastAsia="Arial" w:hAnsi="Arial"/>
                <w:sz w:val="16"/>
                <w:szCs w:val="16"/>
                <w:b w:val="1"/>
                <w:bCs w:val="1"/>
                <w:color w:val="auto"/>
              </w:rPr>
              <w:t>Sciences</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Solutions</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400" w:type="dxa"/>
            <w:vAlign w:val="bottom"/>
            <w:shd w:val="clear" w:color="auto" w:fill="CCEEFF"/>
          </w:tcPr>
          <w:p>
            <w:pPr>
              <w:ind w:left="20"/>
              <w:spacing w:after="0" w:line="237" w:lineRule="exact"/>
              <w:rPr>
                <w:sz w:val="20"/>
                <w:szCs w:val="20"/>
                <w:color w:val="auto"/>
              </w:rPr>
            </w:pPr>
            <w:r>
              <w:rPr>
                <w:rFonts w:ascii="Arial" w:cs="Arial" w:eastAsia="Arial" w:hAnsi="Arial"/>
                <w:sz w:val="16"/>
                <w:szCs w:val="16"/>
                <w:color w:val="auto"/>
              </w:rPr>
              <w:t xml:space="preserve">Manufactured, blended, repackaged products or equipment </w:t>
            </w:r>
            <w:r>
              <w:rPr>
                <w:rFonts w:ascii="Arial" w:cs="Arial" w:eastAsia="Arial" w:hAnsi="Arial"/>
                <w:sz w:val="21"/>
                <w:szCs w:val="21"/>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137,516</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43,467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180,983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00" w:type="dxa"/>
            <w:vAlign w:val="bottom"/>
          </w:tcPr>
          <w:p>
            <w:pPr>
              <w:ind w:left="20"/>
              <w:spacing w:after="0"/>
              <w:rPr>
                <w:sz w:val="20"/>
                <w:szCs w:val="20"/>
                <w:color w:val="auto"/>
              </w:rPr>
            </w:pPr>
            <w:r>
              <w:rPr>
                <w:rFonts w:ascii="Arial" w:cs="Arial" w:eastAsia="Arial" w:hAnsi="Arial"/>
                <w:sz w:val="16"/>
                <w:szCs w:val="16"/>
                <w:color w:val="auto"/>
              </w:rPr>
              <w:t xml:space="preserve">Bulk products </w:t>
            </w:r>
            <w:r>
              <w:rPr>
                <w:rFonts w:ascii="Arial" w:cs="Arial" w:eastAsia="Arial" w:hAnsi="Arial"/>
                <w:sz w:val="21"/>
                <w:szCs w:val="21"/>
                <w:color w:val="auto"/>
                <w:vertAlign w:val="superscript"/>
              </w:rPr>
              <w:t>(2)</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12,283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11,745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24,028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Nutrition</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0" w:type="dxa"/>
            <w:vAlign w:val="bottom"/>
          </w:tcPr>
          <w:p>
            <w:pPr>
              <w:ind w:left="20"/>
              <w:spacing w:after="0"/>
              <w:rPr>
                <w:sz w:val="20"/>
                <w:szCs w:val="20"/>
                <w:color w:val="auto"/>
              </w:rPr>
            </w:pPr>
            <w:r>
              <w:rPr>
                <w:rFonts w:ascii="Arial" w:cs="Arial" w:eastAsia="Arial" w:hAnsi="Arial"/>
                <w:sz w:val="16"/>
                <w:szCs w:val="16"/>
                <w:color w:val="auto"/>
              </w:rPr>
              <w:t>Food</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24,548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24,548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Pharmaceutical</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0" w:type="dxa"/>
            <w:vAlign w:val="bottom"/>
          </w:tcPr>
          <w:p>
            <w:pPr>
              <w:ind w:left="20"/>
              <w:spacing w:after="0"/>
              <w:rPr>
                <w:sz w:val="20"/>
                <w:szCs w:val="20"/>
                <w:color w:val="auto"/>
              </w:rPr>
            </w:pPr>
            <w:r>
              <w:rPr>
                <w:rFonts w:ascii="Arial" w:cs="Arial" w:eastAsia="Arial" w:hAnsi="Arial"/>
                <w:sz w:val="16"/>
                <w:szCs w:val="16"/>
                <w:color w:val="auto"/>
              </w:rPr>
              <w:t>Agricultural</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7,662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7,662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400" w:type="dxa"/>
            <w:vAlign w:val="bottom"/>
          </w:tcPr>
          <w:p>
            <w:pPr>
              <w:ind w:left="20"/>
              <w:spacing w:after="0"/>
              <w:rPr>
                <w:sz w:val="20"/>
                <w:szCs w:val="20"/>
                <w:color w:val="auto"/>
              </w:rPr>
            </w:pPr>
            <w:r>
              <w:rPr>
                <w:rFonts w:ascii="Arial" w:cs="Arial" w:eastAsia="Arial" w:hAnsi="Arial"/>
                <w:sz w:val="16"/>
                <w:szCs w:val="16"/>
                <w:color w:val="auto"/>
              </w:rPr>
              <w:t>Total external customer sales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150,908</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72,914</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56,612</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280,434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7"/>
        </w:trPr>
        <w:tc>
          <w:tcPr>
            <w:tcW w:w="5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ind w:right="952"/>
              <w:spacing w:after="0"/>
              <w:rPr>
                <w:sz w:val="20"/>
                <w:szCs w:val="20"/>
                <w:color w:val="auto"/>
              </w:rPr>
            </w:pPr>
            <w:r>
              <w:rPr>
                <w:rFonts w:ascii="Arial" w:cs="Arial" w:eastAsia="Arial" w:hAnsi="Arial"/>
                <w:sz w:val="18"/>
                <w:szCs w:val="18"/>
                <w:color w:val="auto"/>
                <w:w w:val="99"/>
              </w:rPr>
              <w:t>8</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4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7"/>
        </w:trPr>
        <w:tc>
          <w:tcPr>
            <w:tcW w:w="54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7"/>
          </w:tcPr>
          <w:p>
            <w:pPr>
              <w:ind w:left="60"/>
              <w:spacing w:after="0"/>
              <w:rPr>
                <w:sz w:val="20"/>
                <w:szCs w:val="20"/>
                <w:color w:val="auto"/>
              </w:rPr>
            </w:pPr>
            <w:r>
              <w:rPr>
                <w:rFonts w:ascii="Arial" w:cs="Arial" w:eastAsia="Arial" w:hAnsi="Arial"/>
                <w:sz w:val="16"/>
                <w:szCs w:val="16"/>
                <w:b w:val="1"/>
                <w:bCs w:val="1"/>
                <w:color w:val="auto"/>
              </w:rPr>
              <w:t>Six months ended September 27, 2026</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5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ind w:right="192"/>
              <w:spacing w:after="0" w:line="169" w:lineRule="exact"/>
              <w:rPr>
                <w:sz w:val="20"/>
                <w:szCs w:val="20"/>
                <w:color w:val="auto"/>
              </w:rPr>
            </w:pPr>
            <w:r>
              <w:rPr>
                <w:rFonts w:ascii="Arial" w:cs="Arial" w:eastAsia="Arial" w:hAnsi="Arial"/>
                <w:sz w:val="16"/>
                <w:szCs w:val="16"/>
                <w:b w:val="1"/>
                <w:bCs w:val="1"/>
                <w:color w:val="auto"/>
                <w:w w:val="98"/>
              </w:rPr>
              <w:t>Water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20"/>
              <w:spacing w:after="0" w:line="169" w:lineRule="exact"/>
              <w:rPr>
                <w:sz w:val="20"/>
                <w:szCs w:val="20"/>
                <w:color w:val="auto"/>
              </w:rPr>
            </w:pPr>
            <w:r>
              <w:rPr>
                <w:rFonts w:ascii="Arial" w:cs="Arial" w:eastAsia="Arial" w:hAnsi="Arial"/>
                <w:sz w:val="16"/>
                <w:szCs w:val="16"/>
                <w:b w:val="1"/>
                <w:bCs w:val="1"/>
                <w:color w:val="auto"/>
              </w:rPr>
              <w:t>Food &amp; Health</w:t>
            </w:r>
          </w:p>
        </w:tc>
        <w:tc>
          <w:tcPr>
            <w:tcW w:w="220" w:type="dxa"/>
            <w:vAlign w:val="bottom"/>
          </w:tcPr>
          <w:p>
            <w:pPr>
              <w:spacing w:after="0"/>
              <w:rPr>
                <w:sz w:val="14"/>
                <w:szCs w:val="14"/>
                <w:color w:val="auto"/>
              </w:rPr>
            </w:pPr>
          </w:p>
        </w:tc>
        <w:tc>
          <w:tcPr>
            <w:tcW w:w="1260" w:type="dxa"/>
            <w:vAlign w:val="bottom"/>
            <w:gridSpan w:val="2"/>
          </w:tcPr>
          <w:p>
            <w:pPr>
              <w:ind w:left="100"/>
              <w:spacing w:after="0" w:line="169" w:lineRule="exact"/>
              <w:rPr>
                <w:sz w:val="20"/>
                <w:szCs w:val="20"/>
                <w:color w:val="auto"/>
              </w:rPr>
            </w:pPr>
            <w:r>
              <w:rPr>
                <w:rFonts w:ascii="Arial" w:cs="Arial" w:eastAsia="Arial" w:hAnsi="Arial"/>
                <w:sz w:val="16"/>
                <w:szCs w:val="16"/>
                <w:b w:val="1"/>
                <w:bCs w:val="1"/>
                <w:color w:val="auto"/>
              </w:rPr>
              <w:t>Industrial</w:t>
            </w:r>
          </w:p>
        </w:tc>
        <w:tc>
          <w:tcPr>
            <w:tcW w:w="320" w:type="dxa"/>
            <w:vAlign w:val="bottom"/>
          </w:tcPr>
          <w:p>
            <w:pPr>
              <w:spacing w:after="0"/>
              <w:rPr>
                <w:sz w:val="14"/>
                <w:szCs w:val="14"/>
                <w:color w:val="auto"/>
              </w:rPr>
            </w:pPr>
          </w:p>
        </w:tc>
        <w:tc>
          <w:tcPr>
            <w:tcW w:w="1060" w:type="dxa"/>
            <w:vAlign w:val="bottom"/>
            <w:vMerge w:val="restart"/>
          </w:tcPr>
          <w:p>
            <w:pPr>
              <w:jc w:val="right"/>
              <w:ind w:right="41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32"/>
              <w:spacing w:after="0"/>
              <w:rPr>
                <w:sz w:val="20"/>
                <w:szCs w:val="20"/>
                <w:color w:val="auto"/>
              </w:rPr>
            </w:pPr>
            <w:r>
              <w:rPr>
                <w:rFonts w:ascii="Arial" w:cs="Arial" w:eastAsia="Arial" w:hAnsi="Arial"/>
                <w:sz w:val="16"/>
                <w:szCs w:val="16"/>
                <w:b w:val="1"/>
                <w:bCs w:val="1"/>
                <w:color w:val="auto"/>
              </w:rPr>
              <w:t>Treatment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32"/>
              <w:spacing w:after="0"/>
              <w:rPr>
                <w:sz w:val="20"/>
                <w:szCs w:val="20"/>
                <w:color w:val="auto"/>
              </w:rPr>
            </w:pPr>
            <w:r>
              <w:rPr>
                <w:rFonts w:ascii="Arial" w:cs="Arial" w:eastAsia="Arial" w:hAnsi="Arial"/>
                <w:sz w:val="16"/>
                <w:szCs w:val="16"/>
                <w:b w:val="1"/>
                <w:bCs w:val="1"/>
                <w:color w:val="auto"/>
              </w:rPr>
              <w:t>Sciences</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Solutions</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400" w:type="dxa"/>
            <w:vAlign w:val="bottom"/>
            <w:shd w:val="clear" w:color="auto" w:fill="CCEEFF"/>
          </w:tcPr>
          <w:p>
            <w:pPr>
              <w:ind w:left="20"/>
              <w:spacing w:after="0" w:line="237" w:lineRule="exact"/>
              <w:rPr>
                <w:sz w:val="20"/>
                <w:szCs w:val="20"/>
                <w:color w:val="auto"/>
              </w:rPr>
            </w:pPr>
            <w:r>
              <w:rPr>
                <w:rFonts w:ascii="Arial" w:cs="Arial" w:eastAsia="Arial" w:hAnsi="Arial"/>
                <w:sz w:val="16"/>
                <w:szCs w:val="16"/>
                <w:color w:val="auto"/>
              </w:rPr>
              <w:t xml:space="preserve">Manufactured, blended, repackaged products or equipment </w:t>
            </w:r>
            <w:r>
              <w:rPr>
                <w:rFonts w:ascii="Arial" w:cs="Arial" w:eastAsia="Arial" w:hAnsi="Arial"/>
                <w:sz w:val="21"/>
                <w:szCs w:val="21"/>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293,763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93,011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386,774</w:t>
            </w:r>
          </w:p>
        </w:tc>
        <w:tc>
          <w:tcPr>
            <w:tcW w:w="0" w:type="dxa"/>
            <w:vAlign w:val="bottom"/>
          </w:tcPr>
          <w:p>
            <w:pPr>
              <w:spacing w:after="0"/>
              <w:rPr>
                <w:sz w:val="1"/>
                <w:szCs w:val="1"/>
                <w:color w:val="auto"/>
              </w:rPr>
            </w:pPr>
          </w:p>
        </w:tc>
      </w:tr>
      <w:tr>
        <w:trPr>
          <w:trHeight w:val="243"/>
        </w:trPr>
        <w:tc>
          <w:tcPr>
            <w:tcW w:w="5400" w:type="dxa"/>
            <w:vAlign w:val="bottom"/>
          </w:tcPr>
          <w:p>
            <w:pPr>
              <w:ind w:left="20"/>
              <w:spacing w:after="0"/>
              <w:rPr>
                <w:sz w:val="20"/>
                <w:szCs w:val="20"/>
                <w:color w:val="auto"/>
              </w:rPr>
            </w:pPr>
            <w:r>
              <w:rPr>
                <w:rFonts w:ascii="Arial" w:cs="Arial" w:eastAsia="Arial" w:hAnsi="Arial"/>
                <w:sz w:val="16"/>
                <w:szCs w:val="16"/>
                <w:color w:val="auto"/>
              </w:rPr>
              <w:t xml:space="preserve">Bulk products </w:t>
            </w:r>
            <w:r>
              <w:rPr>
                <w:rFonts w:ascii="Arial" w:cs="Arial" w:eastAsia="Arial" w:hAnsi="Arial"/>
                <w:sz w:val="21"/>
                <w:szCs w:val="21"/>
                <w:color w:val="auto"/>
                <w:vertAlign w:val="superscript"/>
              </w:rPr>
              <w:t>(2)</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35,024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25,999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61,023</w:t>
            </w:r>
          </w:p>
        </w:tc>
        <w:tc>
          <w:tcPr>
            <w:tcW w:w="0" w:type="dxa"/>
            <w:vAlign w:val="bottom"/>
          </w:tcPr>
          <w:p>
            <w:pPr>
              <w:spacing w:after="0"/>
              <w:rPr>
                <w:sz w:val="1"/>
                <w:szCs w:val="1"/>
                <w:color w:val="auto"/>
              </w:rPr>
            </w:pPr>
          </w:p>
        </w:tc>
      </w:tr>
      <w:tr>
        <w:trPr>
          <w:trHeight w:val="243"/>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Nutrition</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72,888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72,888</w:t>
            </w:r>
          </w:p>
        </w:tc>
        <w:tc>
          <w:tcPr>
            <w:tcW w:w="0" w:type="dxa"/>
            <w:vAlign w:val="bottom"/>
          </w:tcPr>
          <w:p>
            <w:pPr>
              <w:spacing w:after="0"/>
              <w:rPr>
                <w:sz w:val="1"/>
                <w:szCs w:val="1"/>
                <w:color w:val="auto"/>
              </w:rPr>
            </w:pPr>
          </w:p>
        </w:tc>
      </w:tr>
      <w:tr>
        <w:trPr>
          <w:trHeight w:val="243"/>
        </w:trPr>
        <w:tc>
          <w:tcPr>
            <w:tcW w:w="5400" w:type="dxa"/>
            <w:vAlign w:val="bottom"/>
          </w:tcPr>
          <w:p>
            <w:pPr>
              <w:ind w:left="20"/>
              <w:spacing w:after="0"/>
              <w:rPr>
                <w:sz w:val="20"/>
                <w:szCs w:val="20"/>
                <w:color w:val="auto"/>
              </w:rPr>
            </w:pPr>
            <w:r>
              <w:rPr>
                <w:rFonts w:ascii="Arial" w:cs="Arial" w:eastAsia="Arial" w:hAnsi="Arial"/>
                <w:sz w:val="16"/>
                <w:szCs w:val="16"/>
                <w:color w:val="auto"/>
              </w:rPr>
              <w:t>Food</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49,600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49,600</w:t>
            </w:r>
          </w:p>
        </w:tc>
        <w:tc>
          <w:tcPr>
            <w:tcW w:w="0" w:type="dxa"/>
            <w:vAlign w:val="bottom"/>
          </w:tcPr>
          <w:p>
            <w:pPr>
              <w:spacing w:after="0"/>
              <w:rPr>
                <w:sz w:val="1"/>
                <w:szCs w:val="1"/>
                <w:color w:val="auto"/>
              </w:rPr>
            </w:pPr>
          </w:p>
        </w:tc>
      </w:tr>
      <w:tr>
        <w:trPr>
          <w:trHeight w:val="243"/>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Pharmaceutical</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14,019</w:t>
            </w:r>
          </w:p>
        </w:tc>
        <w:tc>
          <w:tcPr>
            <w:tcW w:w="0" w:type="dxa"/>
            <w:vAlign w:val="bottom"/>
          </w:tcPr>
          <w:p>
            <w:pPr>
              <w:spacing w:after="0"/>
              <w:rPr>
                <w:sz w:val="1"/>
                <w:szCs w:val="1"/>
                <w:color w:val="auto"/>
              </w:rPr>
            </w:pPr>
          </w:p>
        </w:tc>
      </w:tr>
      <w:tr>
        <w:trPr>
          <w:trHeight w:val="243"/>
        </w:trPr>
        <w:tc>
          <w:tcPr>
            <w:tcW w:w="5400" w:type="dxa"/>
            <w:vAlign w:val="bottom"/>
          </w:tcPr>
          <w:p>
            <w:pPr>
              <w:ind w:left="20"/>
              <w:spacing w:after="0"/>
              <w:rPr>
                <w:sz w:val="20"/>
                <w:szCs w:val="20"/>
                <w:color w:val="auto"/>
              </w:rPr>
            </w:pPr>
            <w:r>
              <w:rPr>
                <w:rFonts w:ascii="Arial" w:cs="Arial" w:eastAsia="Arial" w:hAnsi="Arial"/>
                <w:sz w:val="16"/>
                <w:szCs w:val="16"/>
                <w:color w:val="auto"/>
              </w:rPr>
              <w:t>Agricultural</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35,315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35,315</w:t>
            </w:r>
          </w:p>
        </w:tc>
        <w:tc>
          <w:tcPr>
            <w:tcW w:w="0" w:type="dxa"/>
            <w:vAlign w:val="bottom"/>
          </w:tcPr>
          <w:p>
            <w:pPr>
              <w:spacing w:after="0"/>
              <w:rPr>
                <w:sz w:val="1"/>
                <w:szCs w:val="1"/>
                <w:color w:val="auto"/>
              </w:rPr>
            </w:pPr>
          </w:p>
        </w:tc>
      </w:tr>
      <w:tr>
        <w:trPr>
          <w:trHeight w:val="243"/>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4,467</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3,299</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9,873</w:t>
            </w:r>
          </w:p>
        </w:tc>
        <w:tc>
          <w:tcPr>
            <w:tcW w:w="0" w:type="dxa"/>
            <w:vAlign w:val="bottom"/>
          </w:tcPr>
          <w:p>
            <w:pPr>
              <w:spacing w:after="0"/>
              <w:rPr>
                <w:sz w:val="1"/>
                <w:szCs w:val="1"/>
                <w:color w:val="auto"/>
              </w:rPr>
            </w:pPr>
          </w:p>
        </w:tc>
      </w:tr>
      <w:tr>
        <w:trPr>
          <w:trHeight w:val="237"/>
        </w:trPr>
        <w:tc>
          <w:tcPr>
            <w:tcW w:w="5400" w:type="dxa"/>
            <w:vAlign w:val="bottom"/>
          </w:tcPr>
          <w:p>
            <w:pPr>
              <w:ind w:left="20"/>
              <w:spacing w:after="0"/>
              <w:rPr>
                <w:sz w:val="20"/>
                <w:szCs w:val="20"/>
                <w:color w:val="auto"/>
              </w:rPr>
            </w:pPr>
            <w:r>
              <w:rPr>
                <w:rFonts w:ascii="Arial" w:cs="Arial" w:eastAsia="Arial" w:hAnsi="Arial"/>
                <w:sz w:val="16"/>
                <w:szCs w:val="16"/>
                <w:color w:val="auto"/>
              </w:rPr>
              <w:t>Total external customer sales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333,254</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173,929</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122,309</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629,492</w:t>
            </w: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54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7"/>
          </w:tcPr>
          <w:p>
            <w:pPr>
              <w:ind w:left="60"/>
              <w:spacing w:after="0"/>
              <w:rPr>
                <w:sz w:val="20"/>
                <w:szCs w:val="20"/>
                <w:color w:val="auto"/>
              </w:rPr>
            </w:pPr>
            <w:r>
              <w:rPr>
                <w:rFonts w:ascii="Arial" w:cs="Arial" w:eastAsia="Arial" w:hAnsi="Arial"/>
                <w:sz w:val="16"/>
                <w:szCs w:val="16"/>
                <w:b w:val="1"/>
                <w:bCs w:val="1"/>
                <w:color w:val="auto"/>
              </w:rPr>
              <w:t>Six months ended September 28, 2025</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ind w:right="192"/>
              <w:spacing w:after="0" w:line="169" w:lineRule="exact"/>
              <w:rPr>
                <w:sz w:val="20"/>
                <w:szCs w:val="20"/>
                <w:color w:val="auto"/>
              </w:rPr>
            </w:pPr>
            <w:r>
              <w:rPr>
                <w:rFonts w:ascii="Arial" w:cs="Arial" w:eastAsia="Arial" w:hAnsi="Arial"/>
                <w:sz w:val="16"/>
                <w:szCs w:val="16"/>
                <w:b w:val="1"/>
                <w:bCs w:val="1"/>
                <w:color w:val="auto"/>
                <w:w w:val="98"/>
              </w:rPr>
              <w:t>Water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20"/>
              <w:spacing w:after="0" w:line="169" w:lineRule="exact"/>
              <w:rPr>
                <w:sz w:val="20"/>
                <w:szCs w:val="20"/>
                <w:color w:val="auto"/>
              </w:rPr>
            </w:pPr>
            <w:r>
              <w:rPr>
                <w:rFonts w:ascii="Arial" w:cs="Arial" w:eastAsia="Arial" w:hAnsi="Arial"/>
                <w:sz w:val="16"/>
                <w:szCs w:val="16"/>
                <w:b w:val="1"/>
                <w:bCs w:val="1"/>
                <w:color w:val="auto"/>
              </w:rPr>
              <w:t>Food &amp; Health</w:t>
            </w:r>
          </w:p>
        </w:tc>
        <w:tc>
          <w:tcPr>
            <w:tcW w:w="220" w:type="dxa"/>
            <w:vAlign w:val="bottom"/>
          </w:tcPr>
          <w:p>
            <w:pPr>
              <w:spacing w:after="0"/>
              <w:rPr>
                <w:sz w:val="14"/>
                <w:szCs w:val="14"/>
                <w:color w:val="auto"/>
              </w:rPr>
            </w:pPr>
          </w:p>
        </w:tc>
        <w:tc>
          <w:tcPr>
            <w:tcW w:w="1260" w:type="dxa"/>
            <w:vAlign w:val="bottom"/>
            <w:gridSpan w:val="2"/>
          </w:tcPr>
          <w:p>
            <w:pPr>
              <w:ind w:left="100"/>
              <w:spacing w:after="0" w:line="169" w:lineRule="exact"/>
              <w:rPr>
                <w:sz w:val="20"/>
                <w:szCs w:val="20"/>
                <w:color w:val="auto"/>
              </w:rPr>
            </w:pPr>
            <w:r>
              <w:rPr>
                <w:rFonts w:ascii="Arial" w:cs="Arial" w:eastAsia="Arial" w:hAnsi="Arial"/>
                <w:sz w:val="16"/>
                <w:szCs w:val="16"/>
                <w:b w:val="1"/>
                <w:bCs w:val="1"/>
                <w:color w:val="auto"/>
              </w:rPr>
              <w:t>Industrial</w:t>
            </w:r>
          </w:p>
        </w:tc>
        <w:tc>
          <w:tcPr>
            <w:tcW w:w="320" w:type="dxa"/>
            <w:vAlign w:val="bottom"/>
          </w:tcPr>
          <w:p>
            <w:pPr>
              <w:spacing w:after="0"/>
              <w:rPr>
                <w:sz w:val="14"/>
                <w:szCs w:val="14"/>
                <w:color w:val="auto"/>
              </w:rPr>
            </w:pPr>
          </w:p>
        </w:tc>
        <w:tc>
          <w:tcPr>
            <w:tcW w:w="1060" w:type="dxa"/>
            <w:vAlign w:val="bottom"/>
            <w:vMerge w:val="restart"/>
          </w:tcPr>
          <w:p>
            <w:pPr>
              <w:jc w:val="right"/>
              <w:ind w:right="41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32"/>
              <w:spacing w:after="0"/>
              <w:rPr>
                <w:sz w:val="20"/>
                <w:szCs w:val="20"/>
                <w:color w:val="auto"/>
              </w:rPr>
            </w:pPr>
            <w:r>
              <w:rPr>
                <w:rFonts w:ascii="Arial" w:cs="Arial" w:eastAsia="Arial" w:hAnsi="Arial"/>
                <w:sz w:val="16"/>
                <w:szCs w:val="16"/>
                <w:b w:val="1"/>
                <w:bCs w:val="1"/>
                <w:color w:val="auto"/>
              </w:rPr>
              <w:t>Treatment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32"/>
              <w:spacing w:after="0"/>
              <w:rPr>
                <w:sz w:val="20"/>
                <w:szCs w:val="20"/>
                <w:color w:val="auto"/>
              </w:rPr>
            </w:pPr>
            <w:r>
              <w:rPr>
                <w:rFonts w:ascii="Arial" w:cs="Arial" w:eastAsia="Arial" w:hAnsi="Arial"/>
                <w:sz w:val="16"/>
                <w:szCs w:val="16"/>
                <w:b w:val="1"/>
                <w:bCs w:val="1"/>
                <w:color w:val="auto"/>
              </w:rPr>
              <w:t>Sciences</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Solutions</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400" w:type="dxa"/>
            <w:vAlign w:val="bottom"/>
            <w:shd w:val="clear" w:color="auto" w:fill="CCEEFF"/>
          </w:tcPr>
          <w:p>
            <w:pPr>
              <w:ind w:left="20"/>
              <w:spacing w:after="0" w:line="237" w:lineRule="exact"/>
              <w:rPr>
                <w:sz w:val="20"/>
                <w:szCs w:val="20"/>
                <w:color w:val="auto"/>
              </w:rPr>
            </w:pPr>
            <w:r>
              <w:rPr>
                <w:rFonts w:ascii="Arial" w:cs="Arial" w:eastAsia="Arial" w:hAnsi="Arial"/>
                <w:sz w:val="16"/>
                <w:szCs w:val="16"/>
                <w:color w:val="auto"/>
              </w:rPr>
              <w:t xml:space="preserve">Manufactured, blended, repackaged products or equipment </w:t>
            </w:r>
            <w:r>
              <w:rPr>
                <w:rFonts w:ascii="Arial" w:cs="Arial" w:eastAsia="Arial" w:hAnsi="Arial"/>
                <w:sz w:val="21"/>
                <w:szCs w:val="21"/>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273,863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84,785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358,648</w:t>
            </w:r>
          </w:p>
        </w:tc>
        <w:tc>
          <w:tcPr>
            <w:tcW w:w="0" w:type="dxa"/>
            <w:vAlign w:val="bottom"/>
          </w:tcPr>
          <w:p>
            <w:pPr>
              <w:spacing w:after="0"/>
              <w:rPr>
                <w:sz w:val="1"/>
                <w:szCs w:val="1"/>
                <w:color w:val="auto"/>
              </w:rPr>
            </w:pPr>
          </w:p>
        </w:tc>
      </w:tr>
      <w:tr>
        <w:trPr>
          <w:trHeight w:val="243"/>
        </w:trPr>
        <w:tc>
          <w:tcPr>
            <w:tcW w:w="5400" w:type="dxa"/>
            <w:vAlign w:val="bottom"/>
          </w:tcPr>
          <w:p>
            <w:pPr>
              <w:ind w:left="20"/>
              <w:spacing w:after="0"/>
              <w:rPr>
                <w:sz w:val="20"/>
                <w:szCs w:val="20"/>
                <w:color w:val="auto"/>
              </w:rPr>
            </w:pPr>
            <w:r>
              <w:rPr>
                <w:rFonts w:ascii="Arial" w:cs="Arial" w:eastAsia="Arial" w:hAnsi="Arial"/>
                <w:sz w:val="16"/>
                <w:szCs w:val="16"/>
                <w:color w:val="auto"/>
              </w:rPr>
              <w:t xml:space="preserve">Bulk products </w:t>
            </w:r>
            <w:r>
              <w:rPr>
                <w:rFonts w:ascii="Arial" w:cs="Arial" w:eastAsia="Arial" w:hAnsi="Arial"/>
                <w:sz w:val="21"/>
                <w:szCs w:val="21"/>
                <w:color w:val="auto"/>
                <w:vertAlign w:val="superscript"/>
              </w:rPr>
              <w:t>(2)</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24,251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23,589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47,840</w:t>
            </w:r>
          </w:p>
        </w:tc>
        <w:tc>
          <w:tcPr>
            <w:tcW w:w="0" w:type="dxa"/>
            <w:vAlign w:val="bottom"/>
          </w:tcPr>
          <w:p>
            <w:pPr>
              <w:spacing w:after="0"/>
              <w:rPr>
                <w:sz w:val="1"/>
                <w:szCs w:val="1"/>
                <w:color w:val="auto"/>
              </w:rPr>
            </w:pPr>
          </w:p>
        </w:tc>
      </w:tr>
      <w:tr>
        <w:trPr>
          <w:trHeight w:val="243"/>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Nutrition</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68,748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68,748</w:t>
            </w:r>
          </w:p>
        </w:tc>
        <w:tc>
          <w:tcPr>
            <w:tcW w:w="0" w:type="dxa"/>
            <w:vAlign w:val="bottom"/>
          </w:tcPr>
          <w:p>
            <w:pPr>
              <w:spacing w:after="0"/>
              <w:rPr>
                <w:sz w:val="1"/>
                <w:szCs w:val="1"/>
                <w:color w:val="auto"/>
              </w:rPr>
            </w:pPr>
          </w:p>
        </w:tc>
      </w:tr>
      <w:tr>
        <w:trPr>
          <w:trHeight w:val="243"/>
        </w:trPr>
        <w:tc>
          <w:tcPr>
            <w:tcW w:w="5400" w:type="dxa"/>
            <w:vAlign w:val="bottom"/>
          </w:tcPr>
          <w:p>
            <w:pPr>
              <w:ind w:left="20"/>
              <w:spacing w:after="0"/>
              <w:rPr>
                <w:sz w:val="20"/>
                <w:szCs w:val="20"/>
                <w:color w:val="auto"/>
              </w:rPr>
            </w:pPr>
            <w:r>
              <w:rPr>
                <w:rFonts w:ascii="Arial" w:cs="Arial" w:eastAsia="Arial" w:hAnsi="Arial"/>
                <w:sz w:val="16"/>
                <w:szCs w:val="16"/>
                <w:color w:val="auto"/>
              </w:rPr>
              <w:t>Food</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50,625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50,625</w:t>
            </w:r>
          </w:p>
        </w:tc>
        <w:tc>
          <w:tcPr>
            <w:tcW w:w="0" w:type="dxa"/>
            <w:vAlign w:val="bottom"/>
          </w:tcPr>
          <w:p>
            <w:pPr>
              <w:spacing w:after="0"/>
              <w:rPr>
                <w:sz w:val="1"/>
                <w:szCs w:val="1"/>
                <w:color w:val="auto"/>
              </w:rPr>
            </w:pPr>
          </w:p>
        </w:tc>
      </w:tr>
      <w:tr>
        <w:trPr>
          <w:trHeight w:val="243"/>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Pharmaceutical</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12,227</w:t>
            </w:r>
          </w:p>
        </w:tc>
        <w:tc>
          <w:tcPr>
            <w:tcW w:w="0" w:type="dxa"/>
            <w:vAlign w:val="bottom"/>
          </w:tcPr>
          <w:p>
            <w:pPr>
              <w:spacing w:after="0"/>
              <w:rPr>
                <w:sz w:val="1"/>
                <w:szCs w:val="1"/>
                <w:color w:val="auto"/>
              </w:rPr>
            </w:pPr>
          </w:p>
        </w:tc>
      </w:tr>
      <w:tr>
        <w:trPr>
          <w:trHeight w:val="243"/>
        </w:trPr>
        <w:tc>
          <w:tcPr>
            <w:tcW w:w="5400" w:type="dxa"/>
            <w:vAlign w:val="bottom"/>
          </w:tcPr>
          <w:p>
            <w:pPr>
              <w:ind w:left="20"/>
              <w:spacing w:after="0"/>
              <w:rPr>
                <w:sz w:val="20"/>
                <w:szCs w:val="20"/>
                <w:color w:val="auto"/>
              </w:rPr>
            </w:pPr>
            <w:r>
              <w:rPr>
                <w:rFonts w:ascii="Arial" w:cs="Arial" w:eastAsia="Arial" w:hAnsi="Arial"/>
                <w:sz w:val="16"/>
                <w:szCs w:val="16"/>
                <w:color w:val="auto"/>
              </w:rPr>
              <w:t>Agricultural</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29,132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29,132</w:t>
            </w:r>
          </w:p>
        </w:tc>
        <w:tc>
          <w:tcPr>
            <w:tcW w:w="0" w:type="dxa"/>
            <w:vAlign w:val="bottom"/>
          </w:tcPr>
          <w:p>
            <w:pPr>
              <w:spacing w:after="0"/>
              <w:rPr>
                <w:sz w:val="1"/>
                <w:szCs w:val="1"/>
                <w:color w:val="auto"/>
              </w:rPr>
            </w:pPr>
          </w:p>
        </w:tc>
      </w:tr>
      <w:tr>
        <w:trPr>
          <w:trHeight w:val="243"/>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2,360</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2,767</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6,486</w:t>
            </w:r>
          </w:p>
        </w:tc>
        <w:tc>
          <w:tcPr>
            <w:tcW w:w="0" w:type="dxa"/>
            <w:vAlign w:val="bottom"/>
          </w:tcPr>
          <w:p>
            <w:pPr>
              <w:spacing w:after="0"/>
              <w:rPr>
                <w:sz w:val="1"/>
                <w:szCs w:val="1"/>
                <w:color w:val="auto"/>
              </w:rPr>
            </w:pPr>
          </w:p>
        </w:tc>
      </w:tr>
      <w:tr>
        <w:trPr>
          <w:trHeight w:val="237"/>
        </w:trPr>
        <w:tc>
          <w:tcPr>
            <w:tcW w:w="5400" w:type="dxa"/>
            <w:vAlign w:val="bottom"/>
          </w:tcPr>
          <w:p>
            <w:pPr>
              <w:ind w:left="20"/>
              <w:spacing w:after="0"/>
              <w:rPr>
                <w:sz w:val="20"/>
                <w:szCs w:val="20"/>
                <w:color w:val="auto"/>
              </w:rPr>
            </w:pPr>
            <w:r>
              <w:rPr>
                <w:rFonts w:ascii="Arial" w:cs="Arial" w:eastAsia="Arial" w:hAnsi="Arial"/>
                <w:sz w:val="16"/>
                <w:szCs w:val="16"/>
                <w:color w:val="auto"/>
              </w:rPr>
              <w:t>Total external customer sales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300,474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162,091</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111,141</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573,706</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left="660" w:hanging="328"/>
        <w:spacing w:after="0" w:line="266" w:lineRule="auto"/>
        <w:tabs>
          <w:tab w:leader="none" w:pos="669" w:val="left"/>
        </w:tabs>
        <w:numPr>
          <w:ilvl w:val="0"/>
          <w:numId w:val="1"/>
        </w:numPr>
        <w:rPr>
          <w:rFonts w:ascii="Arial" w:cs="Arial" w:eastAsia="Arial" w:hAnsi="Arial"/>
          <w:sz w:val="16"/>
          <w:szCs w:val="16"/>
          <w:color w:val="auto"/>
        </w:rPr>
      </w:pPr>
      <w:r>
        <w:rPr>
          <w:rFonts w:ascii="Arial" w:cs="Arial" w:eastAsia="Arial" w:hAnsi="Arial"/>
          <w:sz w:val="16"/>
          <w:szCs w:val="16"/>
          <w:color w:val="auto"/>
        </w:rPr>
        <w:t>This line includes our non-bulk specialty products in our Water Treatment and Industrial Solutions segments that we either manufacture, blend, repackage, resell in their original form, or direct ship to our customers in smaller quantities, and equipment and services we provide for our customers.</w:t>
      </w:r>
    </w:p>
    <w:p>
      <w:pPr>
        <w:spacing w:after="0" w:line="76" w:lineRule="exact"/>
        <w:rPr>
          <w:rFonts w:ascii="Arial" w:cs="Arial" w:eastAsia="Arial" w:hAnsi="Arial"/>
          <w:sz w:val="16"/>
          <w:szCs w:val="16"/>
          <w:color w:val="auto"/>
        </w:rPr>
      </w:pPr>
    </w:p>
    <w:p>
      <w:pPr>
        <w:ind w:left="660" w:hanging="328"/>
        <w:spacing w:after="0" w:line="286" w:lineRule="auto"/>
        <w:tabs>
          <w:tab w:leader="none" w:pos="669" w:val="left"/>
        </w:tabs>
        <w:numPr>
          <w:ilvl w:val="0"/>
          <w:numId w:val="1"/>
        </w:numPr>
        <w:rPr>
          <w:rFonts w:ascii="Arial" w:cs="Arial" w:eastAsia="Arial" w:hAnsi="Arial"/>
          <w:sz w:val="16"/>
          <w:szCs w:val="16"/>
          <w:color w:val="auto"/>
        </w:rPr>
      </w:pPr>
      <w:r>
        <w:rPr>
          <w:rFonts w:ascii="Arial" w:cs="Arial" w:eastAsia="Arial" w:hAnsi="Arial"/>
          <w:sz w:val="16"/>
          <w:szCs w:val="16"/>
          <w:color w:val="auto"/>
        </w:rPr>
        <w:t>This line includes bulk products in our Water Treatment and Industrial Solutions segments that we do not modify in any way, but receive, store, and ship from our facilities, or direct ship to our customers in large quantities.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Earnings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Basic earnings per share (“EPS”) is computed by dividing net earnings by the weighted-average number of common shares outstanding.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Diluted EPS includes the dilutive impact of incremental shares assumed to be issued as performance units and restricted stock.</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220" w:type="dxa"/>
            <w:vAlign w:val="bottom"/>
          </w:tcPr>
          <w:p>
            <w:pPr>
              <w:spacing w:after="0"/>
              <w:rPr>
                <w:sz w:val="20"/>
                <w:szCs w:val="20"/>
                <w:color w:val="auto"/>
              </w:rPr>
            </w:pPr>
            <w:r>
              <w:rPr>
                <w:rFonts w:ascii="Arial" w:cs="Arial" w:eastAsia="Arial" w:hAnsi="Arial"/>
                <w:sz w:val="18"/>
                <w:szCs w:val="18"/>
                <w:color w:val="auto"/>
              </w:rPr>
              <w:t>Basic and diluted EPS were calculated using the following:</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3"/>
        </w:trPr>
        <w:tc>
          <w:tcPr>
            <w:tcW w:w="5220" w:type="dxa"/>
            <w:vAlign w:val="bottom"/>
          </w:tcPr>
          <w:p>
            <w:pPr>
              <w:spacing w:after="0"/>
              <w:rPr>
                <w:sz w:val="23"/>
                <w:szCs w:val="23"/>
                <w:color w:val="auto"/>
              </w:rPr>
            </w:pPr>
          </w:p>
        </w:tc>
        <w:tc>
          <w:tcPr>
            <w:tcW w:w="296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23"/>
                <w:szCs w:val="23"/>
                <w:color w:val="auto"/>
              </w:rPr>
            </w:pPr>
          </w:p>
        </w:tc>
        <w:tc>
          <w:tcPr>
            <w:tcW w:w="296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8"/>
                <w:szCs w:val="18"/>
                <w:b w:val="1"/>
                <w:bCs w:val="1"/>
                <w:color w:val="auto"/>
              </w:rPr>
              <w:t>Six months ended</w:t>
            </w:r>
          </w:p>
        </w:tc>
      </w:tr>
      <w:tr>
        <w:trPr>
          <w:trHeight w:val="189"/>
        </w:trPr>
        <w:tc>
          <w:tcPr>
            <w:tcW w:w="5220" w:type="dxa"/>
            <w:vAlign w:val="bottom"/>
          </w:tcPr>
          <w:p>
            <w:pPr>
              <w:spacing w:after="0"/>
              <w:rPr>
                <w:sz w:val="16"/>
                <w:szCs w:val="16"/>
                <w:color w:val="auto"/>
              </w:rPr>
            </w:pPr>
          </w:p>
        </w:tc>
        <w:tc>
          <w:tcPr>
            <w:tcW w:w="1520" w:type="dxa"/>
            <w:vAlign w:val="bottom"/>
            <w:gridSpan w:val="2"/>
          </w:tcPr>
          <w:p>
            <w:pPr>
              <w:ind w:left="100"/>
              <w:spacing w:after="0" w:line="189" w:lineRule="exact"/>
              <w:rPr>
                <w:sz w:val="20"/>
                <w:szCs w:val="20"/>
                <w:color w:val="auto"/>
              </w:rPr>
            </w:pPr>
            <w:r>
              <w:rPr>
                <w:rFonts w:ascii="Arial" w:cs="Arial" w:eastAsia="Arial" w:hAnsi="Arial"/>
                <w:sz w:val="18"/>
                <w:szCs w:val="18"/>
                <w:b w:val="1"/>
                <w:bCs w:val="1"/>
                <w:color w:val="auto"/>
              </w:rPr>
              <w:t>September 27,</w:t>
            </w:r>
          </w:p>
        </w:tc>
        <w:tc>
          <w:tcPr>
            <w:tcW w:w="1520" w:type="dxa"/>
            <w:vAlign w:val="bottom"/>
            <w:gridSpan w:val="2"/>
          </w:tcPr>
          <w:p>
            <w:pPr>
              <w:ind w:left="100"/>
              <w:spacing w:after="0" w:line="189" w:lineRule="exact"/>
              <w:rPr>
                <w:sz w:val="20"/>
                <w:szCs w:val="20"/>
                <w:color w:val="auto"/>
              </w:rPr>
            </w:pPr>
            <w:r>
              <w:rPr>
                <w:rFonts w:ascii="Arial" w:cs="Arial" w:eastAsia="Arial" w:hAnsi="Arial"/>
                <w:sz w:val="18"/>
                <w:szCs w:val="18"/>
                <w:b w:val="1"/>
                <w:bCs w:val="1"/>
                <w:color w:val="auto"/>
              </w:rPr>
              <w:t>September 28,</w:t>
            </w:r>
          </w:p>
        </w:tc>
        <w:tc>
          <w:tcPr>
            <w:tcW w:w="1540" w:type="dxa"/>
            <w:vAlign w:val="bottom"/>
            <w:gridSpan w:val="2"/>
          </w:tcPr>
          <w:p>
            <w:pPr>
              <w:ind w:left="120"/>
              <w:spacing w:after="0" w:line="189" w:lineRule="exact"/>
              <w:rPr>
                <w:sz w:val="20"/>
                <w:szCs w:val="20"/>
                <w:color w:val="auto"/>
              </w:rPr>
            </w:pPr>
            <w:r>
              <w:rPr>
                <w:rFonts w:ascii="Arial" w:cs="Arial" w:eastAsia="Arial" w:hAnsi="Arial"/>
                <w:sz w:val="18"/>
                <w:szCs w:val="18"/>
                <w:b w:val="1"/>
                <w:bCs w:val="1"/>
                <w:color w:val="auto"/>
              </w:rPr>
              <w:t>September 27,</w:t>
            </w:r>
          </w:p>
        </w:tc>
        <w:tc>
          <w:tcPr>
            <w:tcW w:w="1420" w:type="dxa"/>
            <w:vAlign w:val="bottom"/>
          </w:tcPr>
          <w:p>
            <w:pPr>
              <w:jc w:val="right"/>
              <w:ind w:right="10"/>
              <w:spacing w:after="0" w:line="189" w:lineRule="exact"/>
              <w:rPr>
                <w:sz w:val="20"/>
                <w:szCs w:val="20"/>
                <w:color w:val="auto"/>
              </w:rPr>
            </w:pPr>
            <w:r>
              <w:rPr>
                <w:rFonts w:ascii="Arial" w:cs="Arial" w:eastAsia="Arial" w:hAnsi="Arial"/>
                <w:sz w:val="18"/>
                <w:szCs w:val="18"/>
                <w:b w:val="1"/>
                <w:bCs w:val="1"/>
                <w:color w:val="auto"/>
              </w:rPr>
              <w:t>September 28,</w:t>
            </w:r>
          </w:p>
        </w:tc>
      </w:tr>
      <w:tr>
        <w:trPr>
          <w:trHeight w:val="243"/>
        </w:trPr>
        <w:tc>
          <w:tcPr>
            <w:tcW w:w="5220" w:type="dxa"/>
            <w:vAlign w:val="bottom"/>
            <w:tcBorders>
              <w:bottom w:val="single" w:sz="8" w:color="CCEEFF"/>
            </w:tcBorders>
          </w:tcPr>
          <w:p>
            <w:pPr>
              <w:spacing w:after="0"/>
              <w:rPr>
                <w:sz w:val="21"/>
                <w:szCs w:val="21"/>
                <w:color w:val="auto"/>
              </w:rPr>
            </w:pPr>
          </w:p>
        </w:tc>
        <w:tc>
          <w:tcPr>
            <w:tcW w:w="14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8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bottom w:val="single" w:sz="8" w:color="CCEEFF"/>
            </w:tcBorders>
          </w:tcPr>
          <w:p>
            <w:pPr>
              <w:spacing w:after="0"/>
              <w:rPr>
                <w:sz w:val="21"/>
                <w:szCs w:val="21"/>
                <w:color w:val="auto"/>
              </w:rPr>
            </w:pPr>
          </w:p>
        </w:tc>
        <w:tc>
          <w:tcPr>
            <w:tcW w:w="14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2025</w:t>
            </w:r>
          </w:p>
        </w:tc>
      </w:tr>
      <w:tr>
        <w:trPr>
          <w:trHeight w:val="237"/>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outstanding—basic</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20,710,228</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20,737,743</w:t>
            </w:r>
          </w:p>
        </w:tc>
        <w:tc>
          <w:tcPr>
            <w:tcW w:w="8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20,743,855</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20,727,614</w:t>
            </w:r>
          </w:p>
        </w:tc>
      </w:tr>
      <w:tr>
        <w:trPr>
          <w:trHeight w:val="243"/>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Dilutive impact of performance units and restricted stock</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72,816</w:t>
            </w:r>
          </w:p>
        </w:tc>
        <w:tc>
          <w:tcPr>
            <w:tcW w:w="10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108,001</w:t>
            </w:r>
          </w:p>
        </w:tc>
        <w:tc>
          <w:tcPr>
            <w:tcW w:w="8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83,364</w:t>
            </w:r>
          </w:p>
        </w:tc>
        <w:tc>
          <w:tcPr>
            <w:tcW w:w="100" w:type="dxa"/>
            <w:vAlign w:val="bottom"/>
            <w:tcBorders>
              <w:bottom w:val="single" w:sz="8" w:color="CCEEFF"/>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109,981</w:t>
            </w:r>
          </w:p>
        </w:tc>
      </w:tr>
      <w:tr>
        <w:trPr>
          <w:trHeight w:val="261"/>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outstanding—diluted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20,783,044</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20,845,744</w:t>
            </w:r>
          </w:p>
        </w:tc>
        <w:tc>
          <w:tcPr>
            <w:tcW w:w="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20,827,219</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20,837,595</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each of the periods presented, there were no shares excluded from the calculation of weighted-average common shares for diluted EPS.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5 – Fair Value Measurements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financial assets and liabilities are measured at fair value at the price that would be received to sell an asset or paid to transfer a liability in an orderly transaction between market participants at the measurement date (exit price). The carrying value of cash equivalents, accounts receivable, accounts payable, and accrued expenses approximates fair value because of the short-term nature of these instruments. Because of the variable-rate nature of our debt under our credit facility, the carrying value of our debt also approximates fair value.</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Assets and Liabilities Measured at Fair Value on a Recurring Basis. </w:t>
      </w:r>
      <w:r>
        <w:rPr>
          <w:rFonts w:ascii="Arial" w:cs="Arial" w:eastAsia="Arial" w:hAnsi="Arial"/>
          <w:sz w:val="18"/>
          <w:szCs w:val="18"/>
          <w:color w:val="auto"/>
        </w:rPr>
        <w:t>The fair value hierarchy requires the use of observable market data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available. In instances where inputs used to measure fair value fall into different levels of the fair value hierarchy, the fair value measurement has been determined based on the lowest level input that is significant to the fair value measurement in its entirety. Our assessment of the significance of a particular item to the fair value measurement in its entirety requires judgment, including the consideration of inputs specific to the asset or liability.</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financial assets that are measured and reported at fair value for each reporting period are an interest rate swap, marketable securities held in a deferred compensation retirement plan, and the earnout liabilities recorded in conjunction with the acquisitions of Water Solutions Unlimited, Inc. ("Water Solutions") and WaterSurplus. The interest rate swap is classified as other current assets on our condensed consolidated balance sheets. Assets held in a deferred compensation retirement plan are classified as other long-term assets on our condensed consolidated balance sheets, with the portion of the deferred compensation retirement plan assets expected to be paid within twelve months classified as current assets. The Water Solutions earnout liability is classified as other current liabilities on our balance sheets. The WaterSurplus earnout liability is classified as a long-term liability on our balance sheets. The fair value of the interest rate swap is determined by the respective counterparties based on interest rate changes. Interest rate swaps are valued based on observable interest rate yield curves for similar instruments. The deferred compensation plan assets relate to contributions made to a non-qualified compensation plan on behalf of certain employees who are classified as “highly compensated employees” as determined by IRS guidelines. The assets are part of a rabbi trust and the funds are held in mutual funds. The fair value of the deferred compensation is based on the quoted market prices for the mutual funds at the end of the period.</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earnout liabilities recorded in conjunction with the acquisitions of Water Solutions and WaterSurplus are based upon achieving certain targets. The Water Solutions earnout is based on a target of adjusted earnings before interest, taxes, depreciation and amortization (EBITDA) in year three of the acquisition. The performance measurement period concluded as of September 27, 2026 and the earnout liability was valued based on the agreed-upon settlement amount. The WaterSurplus earnout liability is based on a target of accumulated gross profit for the first five years of the acquisition. The earnout liability was discounted and recorded at the present value of the anticipated maximum payout amount, which is a Level 3 input. The earnout liabilities are adjusted to fair value at each reporting date until settled. Changes in fair value are included in selling, general and administrative expenses in our condensed consolidated statements of income.</w:t>
      </w:r>
    </w:p>
    <w:p>
      <w:pPr>
        <w:spacing w:after="0" w:line="7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tables summarize the balances of assets and liabilities measured at fair value on a recurring basis as of September 27, 2026 and March 29, 2026.</w:t>
      </w:r>
    </w:p>
    <w:p>
      <w:pPr>
        <w:spacing w:after="0" w:line="73"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48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27,</w:t>
            </w:r>
          </w:p>
        </w:tc>
        <w:tc>
          <w:tcPr>
            <w:tcW w:w="148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rPr>
              <w:t>March 29, 2026</w:t>
            </w:r>
          </w:p>
        </w:tc>
        <w:tc>
          <w:tcPr>
            <w:tcW w:w="0" w:type="dxa"/>
            <w:vAlign w:val="bottom"/>
          </w:tcPr>
          <w:p>
            <w:pPr>
              <w:spacing w:after="0"/>
              <w:rPr>
                <w:sz w:val="1"/>
                <w:szCs w:val="1"/>
                <w:color w:val="auto"/>
              </w:rPr>
            </w:pPr>
          </w:p>
        </w:tc>
      </w:tr>
      <w:tr>
        <w:trPr>
          <w:trHeight w:val="243"/>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9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2026</w:t>
            </w:r>
          </w:p>
        </w:tc>
        <w:tc>
          <w:tcPr>
            <w:tcW w:w="12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840" w:type="dxa"/>
            <w:vAlign w:val="bottom"/>
          </w:tcPr>
          <w:p>
            <w:pPr>
              <w:ind w:left="120"/>
              <w:spacing w:after="0"/>
              <w:rPr>
                <w:sz w:val="20"/>
                <w:szCs w:val="20"/>
                <w:color w:val="auto"/>
              </w:rPr>
            </w:pPr>
            <w:r>
              <w:rPr>
                <w:rFonts w:ascii="Arial" w:cs="Arial" w:eastAsia="Arial" w:hAnsi="Arial"/>
                <w:sz w:val="18"/>
                <w:szCs w:val="18"/>
                <w:color w:val="auto"/>
              </w:rPr>
              <w:t>Deferred compensation plan assets</w:t>
            </w:r>
          </w:p>
        </w:tc>
        <w:tc>
          <w:tcPr>
            <w:tcW w:w="2960" w:type="dxa"/>
            <w:vAlign w:val="bottom"/>
          </w:tcPr>
          <w:p>
            <w:pPr>
              <w:ind w:left="1880"/>
              <w:spacing w:after="0"/>
              <w:rPr>
                <w:sz w:val="20"/>
                <w:szCs w:val="20"/>
                <w:color w:val="auto"/>
              </w:rPr>
            </w:pPr>
            <w:r>
              <w:rPr>
                <w:rFonts w:ascii="Arial" w:cs="Arial" w:eastAsia="Arial" w:hAnsi="Arial"/>
                <w:sz w:val="18"/>
                <w:szCs w:val="18"/>
                <w:color w:val="auto"/>
              </w:rPr>
              <w:t>Level 1</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16,114</w:t>
            </w:r>
          </w:p>
        </w:tc>
        <w:tc>
          <w:tcPr>
            <w:tcW w:w="1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14,146</w:t>
            </w:r>
          </w:p>
        </w:tc>
        <w:tc>
          <w:tcPr>
            <w:tcW w:w="0" w:type="dxa"/>
            <w:vAlign w:val="bottom"/>
          </w:tcPr>
          <w:p>
            <w:pPr>
              <w:spacing w:after="0"/>
              <w:rPr>
                <w:sz w:val="1"/>
                <w:szCs w:val="1"/>
                <w:color w:val="auto"/>
              </w:rPr>
            </w:pPr>
          </w:p>
        </w:tc>
      </w:tr>
      <w:tr>
        <w:trPr>
          <w:trHeight w:val="243"/>
        </w:trPr>
        <w:tc>
          <w:tcPr>
            <w:tcW w:w="4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rate swap</w:t>
            </w:r>
          </w:p>
        </w:tc>
        <w:tc>
          <w:tcPr>
            <w:tcW w:w="2960" w:type="dxa"/>
            <w:vAlign w:val="bottom"/>
            <w:shd w:val="clear" w:color="auto" w:fill="CCEEFF"/>
          </w:tcPr>
          <w:p>
            <w:pPr>
              <w:ind w:left="1880"/>
              <w:spacing w:after="0"/>
              <w:rPr>
                <w:sz w:val="20"/>
                <w:szCs w:val="20"/>
                <w:color w:val="auto"/>
              </w:rPr>
            </w:pPr>
            <w:r>
              <w:rPr>
                <w:rFonts w:ascii="Arial" w:cs="Arial" w:eastAsia="Arial" w:hAnsi="Arial"/>
                <w:sz w:val="18"/>
                <w:szCs w:val="18"/>
                <w:color w:val="auto"/>
              </w:rPr>
              <w:t>Level 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WaterSurplus earnout liability</w:t>
            </w:r>
          </w:p>
        </w:tc>
        <w:tc>
          <w:tcPr>
            <w:tcW w:w="2960" w:type="dxa"/>
            <w:vAlign w:val="bottom"/>
            <w:shd w:val="clear" w:color="auto" w:fill="CCEEFF"/>
          </w:tcPr>
          <w:p>
            <w:pPr>
              <w:ind w:left="1880"/>
              <w:spacing w:after="0"/>
              <w:rPr>
                <w:sz w:val="20"/>
                <w:szCs w:val="20"/>
                <w:color w:val="auto"/>
              </w:rPr>
            </w:pPr>
            <w:r>
              <w:rPr>
                <w:rFonts w:ascii="Arial" w:cs="Arial" w:eastAsia="Arial" w:hAnsi="Arial"/>
                <w:sz w:val="18"/>
                <w:szCs w:val="18"/>
                <w:color w:val="auto"/>
              </w:rPr>
              <w:t>Level 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45,985</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44,898</w:t>
            </w:r>
          </w:p>
        </w:tc>
        <w:tc>
          <w:tcPr>
            <w:tcW w:w="0" w:type="dxa"/>
            <w:vAlign w:val="bottom"/>
          </w:tcPr>
          <w:p>
            <w:pPr>
              <w:spacing w:after="0"/>
              <w:rPr>
                <w:sz w:val="1"/>
                <w:szCs w:val="1"/>
                <w:color w:val="auto"/>
              </w:rPr>
            </w:pPr>
          </w:p>
        </w:tc>
      </w:tr>
      <w:tr>
        <w:trPr>
          <w:trHeight w:val="247"/>
        </w:trPr>
        <w:tc>
          <w:tcPr>
            <w:tcW w:w="4840" w:type="dxa"/>
            <w:vAlign w:val="bottom"/>
          </w:tcPr>
          <w:p>
            <w:pPr>
              <w:ind w:left="120"/>
              <w:spacing w:after="0"/>
              <w:rPr>
                <w:sz w:val="20"/>
                <w:szCs w:val="20"/>
                <w:color w:val="auto"/>
              </w:rPr>
            </w:pPr>
            <w:r>
              <w:rPr>
                <w:rFonts w:ascii="Arial" w:cs="Arial" w:eastAsia="Arial" w:hAnsi="Arial"/>
                <w:sz w:val="18"/>
                <w:szCs w:val="18"/>
                <w:color w:val="auto"/>
              </w:rPr>
              <w:t>Water Solutions earnout liability</w:t>
            </w:r>
          </w:p>
        </w:tc>
        <w:tc>
          <w:tcPr>
            <w:tcW w:w="2960" w:type="dxa"/>
            <w:vAlign w:val="bottom"/>
          </w:tcPr>
          <w:p>
            <w:pPr>
              <w:ind w:left="1880"/>
              <w:spacing w:after="0"/>
              <w:rPr>
                <w:sz w:val="20"/>
                <w:szCs w:val="20"/>
                <w:color w:val="auto"/>
              </w:rPr>
            </w:pPr>
            <w:r>
              <w:rPr>
                <w:rFonts w:ascii="Arial" w:cs="Arial" w:eastAsia="Arial" w:hAnsi="Arial"/>
                <w:sz w:val="18"/>
                <w:szCs w:val="18"/>
                <w:color w:val="auto"/>
              </w:rPr>
              <w:t>Level 3</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4,529</w:t>
            </w:r>
          </w:p>
        </w:tc>
        <w:tc>
          <w:tcPr>
            <w:tcW w:w="1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4,529</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earnout liability measured at fair value using Level 3 inputs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Earnout liability at March 29, 2026</w:t>
            </w:r>
          </w:p>
        </w:tc>
        <w:tc>
          <w:tcPr>
            <w:tcW w:w="368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49,427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tcPr>
          <w:p>
            <w:pPr>
              <w:ind w:left="140"/>
              <w:spacing w:after="0"/>
              <w:rPr>
                <w:sz w:val="20"/>
                <w:szCs w:val="20"/>
                <w:color w:val="auto"/>
              </w:rPr>
            </w:pPr>
            <w:r>
              <w:rPr>
                <w:rFonts w:ascii="Arial" w:cs="Arial" w:eastAsia="Arial" w:hAnsi="Arial"/>
                <w:sz w:val="18"/>
                <w:szCs w:val="18"/>
                <w:color w:val="auto"/>
              </w:rPr>
              <w:t>Accretion of WaterSurplus earnout liability</w:t>
            </w:r>
          </w:p>
        </w:tc>
        <w:tc>
          <w:tcPr>
            <w:tcW w:w="3680" w:type="dxa"/>
            <w:vAlign w:val="bottom"/>
          </w:tcPr>
          <w:p>
            <w:pPr>
              <w:jc w:val="right"/>
              <w:ind w:right="410"/>
              <w:spacing w:after="0"/>
              <w:rPr>
                <w:sz w:val="20"/>
                <w:szCs w:val="20"/>
                <w:color w:val="auto"/>
              </w:rPr>
            </w:pPr>
            <w:r>
              <w:rPr>
                <w:rFonts w:ascii="Arial" w:cs="Arial" w:eastAsia="Arial" w:hAnsi="Arial"/>
                <w:sz w:val="18"/>
                <w:szCs w:val="18"/>
                <w:color w:val="auto"/>
              </w:rPr>
              <w:t>Level 3</w:t>
            </w:r>
          </w:p>
        </w:tc>
        <w:tc>
          <w:tcPr>
            <w:tcW w:w="1280" w:type="dxa"/>
            <w:vAlign w:val="bottom"/>
          </w:tcPr>
          <w:p>
            <w:pPr>
              <w:jc w:val="right"/>
              <w:ind w:right="107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1,087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4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Earnout liability at September 27, 2026</w:t>
            </w:r>
          </w:p>
        </w:tc>
        <w:tc>
          <w:tcPr>
            <w:tcW w:w="36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50,514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bottom w:val="single" w:sz="8" w:color="CCEEFF"/>
            </w:tcBorders>
            <w:vMerge w:val="restart"/>
          </w:tcPr>
          <w:p>
            <w:pPr>
              <w:jc w:val="right"/>
              <w:ind w:right="2370"/>
              <w:spacing w:after="0"/>
              <w:rPr>
                <w:sz w:val="20"/>
                <w:szCs w:val="20"/>
                <w:color w:val="auto"/>
              </w:rPr>
            </w:pPr>
            <w:r>
              <w:rPr>
                <w:rFonts w:ascii="Arial" w:cs="Arial" w:eastAsia="Arial" w:hAnsi="Arial"/>
                <w:sz w:val="18"/>
                <w:szCs w:val="18"/>
                <w:color w:val="auto"/>
              </w:rPr>
              <w:t>10</w:t>
            </w: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6"/>
        </w:trPr>
        <w:tc>
          <w:tcPr>
            <w:tcW w:w="4500" w:type="dxa"/>
            <w:vAlign w:val="bottom"/>
          </w:tcPr>
          <w:p>
            <w:pPr>
              <w:spacing w:after="0"/>
              <w:rPr>
                <w:sz w:val="24"/>
                <w:szCs w:val="24"/>
                <w:color w:val="auto"/>
              </w:rPr>
            </w:pPr>
          </w:p>
        </w:tc>
        <w:tc>
          <w:tcPr>
            <w:tcW w:w="368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500" w:type="dxa"/>
            <w:vAlign w:val="bottom"/>
            <w:tcBorders>
              <w:bottom w:val="single" w:sz="8" w:color="9A9A9A"/>
            </w:tcBorders>
          </w:tcPr>
          <w:p>
            <w:pPr>
              <w:spacing w:after="0"/>
              <w:rPr>
                <w:sz w:val="9"/>
                <w:szCs w:val="9"/>
                <w:color w:val="auto"/>
              </w:rPr>
            </w:pPr>
          </w:p>
        </w:tc>
        <w:tc>
          <w:tcPr>
            <w:tcW w:w="368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47"/>
        </w:trPr>
        <w:tc>
          <w:tcPr>
            <w:tcW w:w="7740" w:type="dxa"/>
            <w:vAlign w:val="bottom"/>
          </w:tcPr>
          <w:p>
            <w:pPr>
              <w:spacing w:after="0"/>
              <w:rPr>
                <w:sz w:val="20"/>
                <w:szCs w:val="20"/>
                <w:color w:val="auto"/>
              </w:rPr>
            </w:pPr>
            <w:r>
              <w:rPr>
                <w:rFonts w:ascii="Arial" w:cs="Arial" w:eastAsia="Arial" w:hAnsi="Arial"/>
                <w:sz w:val="18"/>
                <w:szCs w:val="18"/>
                <w:b w:val="1"/>
                <w:bCs w:val="1"/>
                <w:color w:val="auto"/>
              </w:rPr>
              <w:t>Note 6 – Inventories</w:t>
            </w: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316"/>
        </w:trPr>
        <w:tc>
          <w:tcPr>
            <w:tcW w:w="7740" w:type="dxa"/>
            <w:vAlign w:val="bottom"/>
          </w:tcPr>
          <w:p>
            <w:pPr>
              <w:spacing w:after="0"/>
              <w:rPr>
                <w:sz w:val="20"/>
                <w:szCs w:val="20"/>
                <w:color w:val="auto"/>
              </w:rPr>
            </w:pPr>
            <w:r>
              <w:rPr>
                <w:rFonts w:ascii="Arial" w:cs="Arial" w:eastAsia="Arial" w:hAnsi="Arial"/>
                <w:sz w:val="18"/>
                <w:szCs w:val="18"/>
                <w:color w:val="auto"/>
              </w:rPr>
              <w:t>Inventories at September 27, 2026 and March 29, 2026 consisted of the following:</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20"/>
        </w:trPr>
        <w:tc>
          <w:tcPr>
            <w:tcW w:w="7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27,</w:t>
            </w:r>
          </w:p>
        </w:tc>
        <w:tc>
          <w:tcPr>
            <w:tcW w:w="240" w:type="dxa"/>
            <w:vAlign w:val="bottom"/>
          </w:tcPr>
          <w:p>
            <w:pPr>
              <w:spacing w:after="0"/>
              <w:rPr>
                <w:sz w:val="24"/>
                <w:szCs w:val="24"/>
                <w:color w:val="auto"/>
              </w:rPr>
            </w:pPr>
          </w:p>
        </w:tc>
        <w:tc>
          <w:tcPr>
            <w:tcW w:w="132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29,</w:t>
            </w:r>
          </w:p>
        </w:tc>
      </w:tr>
      <w:tr>
        <w:trPr>
          <w:trHeight w:val="243"/>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2026</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2026</w:t>
            </w:r>
          </w:p>
        </w:tc>
      </w:tr>
      <w:tr>
        <w:trPr>
          <w:trHeight w:val="237"/>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 (FIFO basis)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121,229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102,589</w:t>
            </w:r>
          </w:p>
        </w:tc>
      </w:tr>
      <w:tr>
        <w:trPr>
          <w:trHeight w:val="243"/>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LIFO reserve</w:t>
            </w:r>
          </w:p>
        </w:tc>
        <w:tc>
          <w:tcPr>
            <w:tcW w:w="1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(28,282)</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(24,390)</w:t>
            </w:r>
          </w:p>
        </w:tc>
      </w:tr>
      <w:tr>
        <w:trPr>
          <w:trHeight w:val="262"/>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inventory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92,947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78,199</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use the last in, first out (“LIFO”) method of valuing the majority of our inventory, which causes the most recent product costs to be recognized in our condensed consolidated statements of income.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Goodwill and Other Identifiable Intangible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amounts of goodwill for each of our three reportable segments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330"/>
              <w:spacing w:after="0"/>
              <w:rPr>
                <w:sz w:val="20"/>
                <w:szCs w:val="20"/>
                <w:color w:val="auto"/>
              </w:rPr>
            </w:pPr>
            <w:r>
              <w:rPr>
                <w:rFonts w:ascii="Arial" w:cs="Arial" w:eastAsia="Arial" w:hAnsi="Arial"/>
                <w:sz w:val="18"/>
                <w:szCs w:val="18"/>
                <w:b w:val="1"/>
                <w:bCs w:val="1"/>
                <w:color w:val="auto"/>
              </w:rPr>
              <w:t>Water</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Food &amp; Health</w:t>
            </w:r>
          </w:p>
        </w:tc>
        <w:tc>
          <w:tcPr>
            <w:tcW w:w="240" w:type="dxa"/>
            <w:vAlign w:val="bottom"/>
          </w:tcPr>
          <w:p>
            <w:pPr>
              <w:spacing w:after="0"/>
              <w:rPr>
                <w:sz w:val="17"/>
                <w:szCs w:val="17"/>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rPr>
              <w:t>Industrial</w:t>
            </w:r>
          </w:p>
        </w:tc>
        <w:tc>
          <w:tcPr>
            <w:tcW w:w="340" w:type="dxa"/>
            <w:vAlign w:val="bottom"/>
          </w:tcPr>
          <w:p>
            <w:pPr>
              <w:spacing w:after="0"/>
              <w:rPr>
                <w:sz w:val="17"/>
                <w:szCs w:val="17"/>
                <w:color w:val="auto"/>
              </w:rPr>
            </w:pPr>
          </w:p>
        </w:tc>
        <w:tc>
          <w:tcPr>
            <w:tcW w:w="106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Treatment</w:t>
            </w: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Sciences</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Solutions</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March 29, 2026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170,880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5,291</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223,042</w:t>
            </w:r>
          </w:p>
        </w:tc>
        <w:tc>
          <w:tcPr>
            <w:tcW w:w="0" w:type="dxa"/>
            <w:vAlign w:val="bottom"/>
          </w:tcPr>
          <w:p>
            <w:pPr>
              <w:spacing w:after="0"/>
              <w:rPr>
                <w:sz w:val="1"/>
                <w:szCs w:val="1"/>
                <w:color w:val="auto"/>
              </w:rPr>
            </w:pPr>
          </w:p>
        </w:tc>
      </w:tr>
      <w:tr>
        <w:trPr>
          <w:trHeight w:val="243"/>
        </w:trPr>
        <w:tc>
          <w:tcPr>
            <w:tcW w:w="55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Addition, due to acquisitions</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1,397</w:t>
            </w: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62"/>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September 27, 2026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172,277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46,871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5,291</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224,439</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identifiable intangible assets as of September 27, 2026 and March 29, 2026:</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7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6"/>
          </w:tcPr>
          <w:p>
            <w:pPr>
              <w:jc w:val="center"/>
              <w:ind w:left="532"/>
              <w:spacing w:after="0"/>
              <w:rPr>
                <w:sz w:val="20"/>
                <w:szCs w:val="20"/>
                <w:color w:val="auto"/>
              </w:rPr>
            </w:pPr>
            <w:r>
              <w:rPr>
                <w:rFonts w:ascii="Arial" w:cs="Arial" w:eastAsia="Arial" w:hAnsi="Arial"/>
                <w:sz w:val="18"/>
                <w:szCs w:val="18"/>
                <w:b w:val="1"/>
                <w:bCs w:val="1"/>
                <w:color w:val="auto"/>
                <w:w w:val="99"/>
              </w:rPr>
              <w:t>September 27, 2026</w:t>
            </w:r>
          </w:p>
        </w:tc>
        <w:tc>
          <w:tcPr>
            <w:tcW w:w="8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March 29, 2026</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280"/>
              <w:spacing w:after="0" w:line="169" w:lineRule="exact"/>
              <w:rPr>
                <w:sz w:val="20"/>
                <w:szCs w:val="20"/>
                <w:color w:val="auto"/>
              </w:rPr>
            </w:pPr>
            <w:r>
              <w:rPr>
                <w:rFonts w:ascii="Arial" w:cs="Arial" w:eastAsia="Arial" w:hAnsi="Arial"/>
                <w:sz w:val="16"/>
                <w:szCs w:val="16"/>
                <w:b w:val="1"/>
                <w:bCs w:val="1"/>
                <w:color w:val="auto"/>
                <w:w w:val="99"/>
              </w:rPr>
              <w:t>Gross</w:t>
            </w:r>
          </w:p>
        </w:tc>
        <w:tc>
          <w:tcPr>
            <w:tcW w:w="120" w:type="dxa"/>
            <w:vAlign w:val="bottom"/>
          </w:tcPr>
          <w:p>
            <w:pPr>
              <w:spacing w:after="0"/>
              <w:rPr>
                <w:sz w:val="14"/>
                <w:szCs w:val="14"/>
                <w:color w:val="auto"/>
              </w:rPr>
            </w:pPr>
          </w:p>
        </w:tc>
        <w:tc>
          <w:tcPr>
            <w:tcW w:w="1240" w:type="dxa"/>
            <w:vAlign w:val="bottom"/>
            <w:gridSpan w:val="2"/>
          </w:tcPr>
          <w:p>
            <w:pPr>
              <w:jc w:val="center"/>
              <w:ind w:right="220"/>
              <w:spacing w:after="0" w:line="169" w:lineRule="exact"/>
              <w:rPr>
                <w:sz w:val="20"/>
                <w:szCs w:val="20"/>
                <w:color w:val="auto"/>
              </w:rPr>
            </w:pPr>
            <w:r>
              <w:rPr>
                <w:rFonts w:ascii="Arial" w:cs="Arial" w:eastAsia="Arial" w:hAnsi="Arial"/>
                <w:sz w:val="16"/>
                <w:szCs w:val="16"/>
                <w:b w:val="1"/>
                <w:bCs w:val="1"/>
                <w:color w:val="auto"/>
              </w:rPr>
              <w:t>Accumulated</w:t>
            </w:r>
          </w:p>
        </w:tc>
        <w:tc>
          <w:tcPr>
            <w:tcW w:w="200" w:type="dxa"/>
            <w:vAlign w:val="bottom"/>
          </w:tcPr>
          <w:p>
            <w:pPr>
              <w:spacing w:after="0"/>
              <w:rPr>
                <w:sz w:val="14"/>
                <w:szCs w:val="14"/>
                <w:color w:val="auto"/>
              </w:rPr>
            </w:pPr>
          </w:p>
        </w:tc>
        <w:tc>
          <w:tcPr>
            <w:tcW w:w="100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Net</w:t>
            </w:r>
          </w:p>
        </w:tc>
        <w:tc>
          <w:tcPr>
            <w:tcW w:w="160" w:type="dxa"/>
            <w:vAlign w:val="bottom"/>
          </w:tcPr>
          <w:p>
            <w:pPr>
              <w:spacing w:after="0"/>
              <w:rPr>
                <w:sz w:val="14"/>
                <w:szCs w:val="14"/>
                <w:color w:val="auto"/>
              </w:rPr>
            </w:pPr>
          </w:p>
        </w:tc>
        <w:tc>
          <w:tcPr>
            <w:tcW w:w="960" w:type="dxa"/>
            <w:vAlign w:val="bottom"/>
            <w:gridSpan w:val="2"/>
          </w:tcPr>
          <w:p>
            <w:pPr>
              <w:jc w:val="center"/>
              <w:ind w:right="320"/>
              <w:spacing w:after="0" w:line="169" w:lineRule="exact"/>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14"/>
                <w:szCs w:val="14"/>
                <w:color w:val="auto"/>
              </w:rPr>
            </w:pPr>
          </w:p>
        </w:tc>
        <w:tc>
          <w:tcPr>
            <w:tcW w:w="1300" w:type="dxa"/>
            <w:vAlign w:val="bottom"/>
            <w:gridSpan w:val="2"/>
          </w:tcPr>
          <w:p>
            <w:pPr>
              <w:ind w:left="20"/>
              <w:spacing w:after="0" w:line="169" w:lineRule="exact"/>
              <w:rPr>
                <w:sz w:val="20"/>
                <w:szCs w:val="20"/>
                <w:color w:val="auto"/>
              </w:rPr>
            </w:pPr>
            <w:r>
              <w:rPr>
                <w:rFonts w:ascii="Arial" w:cs="Arial" w:eastAsia="Arial" w:hAnsi="Arial"/>
                <w:sz w:val="16"/>
                <w:szCs w:val="16"/>
                <w:b w:val="1"/>
                <w:bCs w:val="1"/>
                <w:color w:val="auto"/>
              </w:rPr>
              <w:t>Accumulated</w:t>
            </w:r>
          </w:p>
        </w:tc>
        <w:tc>
          <w:tcPr>
            <w:tcW w:w="200" w:type="dxa"/>
            <w:vAlign w:val="bottom"/>
          </w:tcPr>
          <w:p>
            <w:pPr>
              <w:spacing w:after="0"/>
              <w:rPr>
                <w:sz w:val="14"/>
                <w:szCs w:val="14"/>
                <w:color w:val="auto"/>
              </w:rPr>
            </w:pPr>
          </w:p>
        </w:tc>
        <w:tc>
          <w:tcPr>
            <w:tcW w:w="820" w:type="dxa"/>
            <w:vAlign w:val="bottom"/>
            <w:vMerge w:val="restart"/>
          </w:tcPr>
          <w:p>
            <w:pPr>
              <w:jc w:val="right"/>
              <w:ind w:right="291"/>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Amortization</w:t>
            </w:r>
          </w:p>
        </w:tc>
        <w:tc>
          <w:tcPr>
            <w:tcW w:w="2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2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Finite-life intangible assets</w:t>
            </w:r>
          </w:p>
        </w:tc>
        <w:tc>
          <w:tcPr>
            <w:tcW w:w="1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360"/>
              <w:spacing w:after="0"/>
              <w:rPr>
                <w:sz w:val="20"/>
                <w:szCs w:val="20"/>
                <w:color w:val="auto"/>
              </w:rPr>
            </w:pPr>
            <w:r>
              <w:rPr>
                <w:rFonts w:ascii="Arial" w:cs="Arial" w:eastAsia="Arial" w:hAnsi="Arial"/>
                <w:sz w:val="18"/>
                <w:szCs w:val="18"/>
                <w:color w:val="auto"/>
              </w:rPr>
              <w:t>Customer relationships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286,114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(84,646)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201,468</w:t>
            </w: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283,654</w:t>
            </w:r>
          </w:p>
        </w:tc>
        <w:tc>
          <w:tcPr>
            <w:tcW w:w="12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(75,216)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208,438</w:t>
            </w: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Trademarks and trade names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11,254</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12,136</w:t>
            </w:r>
          </w:p>
        </w:tc>
        <w:tc>
          <w:tcPr>
            <w:tcW w:w="0" w:type="dxa"/>
            <w:vAlign w:val="bottom"/>
          </w:tcPr>
          <w:p>
            <w:pPr>
              <w:spacing w:after="0"/>
              <w:rPr>
                <w:sz w:val="1"/>
                <w:szCs w:val="1"/>
                <w:color w:val="auto"/>
              </w:rPr>
            </w:pPr>
          </w:p>
        </w:tc>
      </w:tr>
      <w:tr>
        <w:trPr>
          <w:trHeight w:val="243"/>
        </w:trPr>
        <w:tc>
          <w:tcPr>
            <w:tcW w:w="37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finite-life intangible assets</w:t>
            </w: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16,653</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10,506</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16,526</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11,086</w:t>
            </w:r>
          </w:p>
        </w:tc>
        <w:tc>
          <w:tcPr>
            <w:tcW w:w="0" w:type="dxa"/>
            <w:vAlign w:val="bottom"/>
          </w:tcPr>
          <w:p>
            <w:pPr>
              <w:spacing w:after="0"/>
              <w:rPr>
                <w:sz w:val="1"/>
                <w:szCs w:val="1"/>
                <w:color w:val="auto"/>
              </w:rPr>
            </w:pPr>
          </w:p>
        </w:tc>
      </w:tr>
      <w:tr>
        <w:trPr>
          <w:trHeight w:val="237"/>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finite-life intangible assets</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324,389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(101,161)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223,228</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321,802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(90,142)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231,660</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Arial" w:cs="Arial" w:eastAsia="Arial" w:hAnsi="Arial"/>
                <w:sz w:val="18"/>
                <w:szCs w:val="18"/>
                <w:color w:val="auto"/>
              </w:rPr>
              <w:t>Indefinite-life intangible assets</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1,227</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62"/>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325,616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(101,161)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224,455</w:t>
            </w: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323,029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(90,142)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232,887</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 amortization expense was $5.5 million and $11.0 million three and six months ended September 27, 2026, respectively.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 amortization expense was $5.5 million and $10.3 million three and six months ended September 28, 2025,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future amortization expense for identifiable intangible assets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Arial" w:cs="Arial" w:eastAsia="Arial" w:hAnsi="Arial"/>
                <w:sz w:val="18"/>
                <w:szCs w:val="18"/>
                <w:b w:val="1"/>
                <w:bCs w:val="1"/>
                <w:color w:val="auto"/>
              </w:rPr>
              <w:t>Intangible</w:t>
            </w:r>
          </w:p>
        </w:tc>
        <w:tc>
          <w:tcPr>
            <w:tcW w:w="0" w:type="dxa"/>
            <w:vAlign w:val="bottom"/>
          </w:tcPr>
          <w:p>
            <w:pPr>
              <w:spacing w:after="0"/>
              <w:rPr>
                <w:sz w:val="1"/>
                <w:szCs w:val="1"/>
                <w:color w:val="auto"/>
              </w:rPr>
            </w:pPr>
          </w:p>
        </w:tc>
      </w:tr>
      <w:tr>
        <w:trPr>
          <w:trHeight w:val="243"/>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61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2027 remaining</w:t>
            </w:r>
          </w:p>
        </w:tc>
        <w:tc>
          <w:tcPr>
            <w:tcW w:w="6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10,862</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Fiscal 2028</w:t>
            </w:r>
          </w:p>
        </w:tc>
        <w:tc>
          <w:tcPr>
            <w:tcW w:w="6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21,294</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2029</w:t>
            </w:r>
          </w:p>
        </w:tc>
        <w:tc>
          <w:tcPr>
            <w:tcW w:w="6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21,266</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Fiscal 2030</w:t>
            </w:r>
          </w:p>
        </w:tc>
        <w:tc>
          <w:tcPr>
            <w:tcW w:w="6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21,230</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2031</w:t>
            </w:r>
          </w:p>
        </w:tc>
        <w:tc>
          <w:tcPr>
            <w:tcW w:w="6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21,182</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61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127,394</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223,228</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6180" w:type="dxa"/>
            <w:vAlign w:val="bottom"/>
            <w:tcBorders>
              <w:top w:val="single" w:sz="8" w:color="CCEEFF"/>
              <w:bottom w:val="single" w:sz="8" w:color="CCEEFF"/>
            </w:tcBorders>
            <w:vMerge w:val="restart"/>
          </w:tcPr>
          <w:p>
            <w:pPr>
              <w:jc w:val="right"/>
              <w:ind w:right="4030"/>
              <w:spacing w:after="0"/>
              <w:rPr>
                <w:sz w:val="20"/>
                <w:szCs w:val="20"/>
                <w:color w:val="auto"/>
              </w:rPr>
            </w:pPr>
            <w:r>
              <w:rPr>
                <w:rFonts w:ascii="Arial" w:cs="Arial" w:eastAsia="Arial" w:hAnsi="Arial"/>
                <w:sz w:val="18"/>
                <w:szCs w:val="18"/>
                <w:color w:val="auto"/>
              </w:rPr>
              <w:t>11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9"/>
        </w:trPr>
        <w:tc>
          <w:tcPr>
            <w:tcW w:w="3660" w:type="dxa"/>
            <w:vAlign w:val="bottom"/>
          </w:tcPr>
          <w:p>
            <w:pPr>
              <w:spacing w:after="0"/>
              <w:rPr>
                <w:sz w:val="24"/>
                <w:szCs w:val="24"/>
                <w:color w:val="auto"/>
              </w:rPr>
            </w:pPr>
          </w:p>
        </w:tc>
        <w:tc>
          <w:tcPr>
            <w:tcW w:w="61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660" w:type="dxa"/>
            <w:vAlign w:val="bottom"/>
            <w:tcBorders>
              <w:bottom w:val="single" w:sz="8" w:color="9A9A9A"/>
            </w:tcBorders>
          </w:tcPr>
          <w:p>
            <w:pPr>
              <w:spacing w:after="0"/>
              <w:rPr>
                <w:sz w:val="9"/>
                <w:szCs w:val="9"/>
                <w:color w:val="auto"/>
              </w:rPr>
            </w:pPr>
          </w:p>
        </w:tc>
        <w:tc>
          <w:tcPr>
            <w:tcW w:w="61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47"/>
        </w:trPr>
        <w:tc>
          <w:tcPr>
            <w:tcW w:w="7940" w:type="dxa"/>
            <w:vAlign w:val="bottom"/>
          </w:tcPr>
          <w:p>
            <w:pPr>
              <w:spacing w:after="0"/>
              <w:rPr>
                <w:sz w:val="20"/>
                <w:szCs w:val="20"/>
                <w:color w:val="auto"/>
              </w:rPr>
            </w:pPr>
            <w:r>
              <w:rPr>
                <w:rFonts w:ascii="Arial" w:cs="Arial" w:eastAsia="Arial" w:hAnsi="Arial"/>
                <w:sz w:val="18"/>
                <w:szCs w:val="18"/>
                <w:b w:val="1"/>
                <w:bCs w:val="1"/>
                <w:color w:val="auto"/>
              </w:rPr>
              <w:t>Note 8 – Other Current Liabilities</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316"/>
        </w:trPr>
        <w:tc>
          <w:tcPr>
            <w:tcW w:w="7940" w:type="dxa"/>
            <w:vAlign w:val="bottom"/>
          </w:tcPr>
          <w:p>
            <w:pPr>
              <w:spacing w:after="0"/>
              <w:rPr>
                <w:sz w:val="20"/>
                <w:szCs w:val="20"/>
                <w:color w:val="auto"/>
              </w:rPr>
            </w:pPr>
            <w:r>
              <w:rPr>
                <w:rFonts w:ascii="Arial" w:cs="Arial" w:eastAsia="Arial" w:hAnsi="Arial"/>
                <w:sz w:val="18"/>
                <w:szCs w:val="18"/>
                <w:color w:val="auto"/>
              </w:rPr>
              <w:t>Other current liabilities at September 27, 2026 and March 29, 2026 consisted of the following:</w:t>
            </w: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20"/>
        </w:trPr>
        <w:tc>
          <w:tcPr>
            <w:tcW w:w="7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27,</w:t>
            </w:r>
          </w:p>
        </w:tc>
        <w:tc>
          <w:tcPr>
            <w:tcW w:w="240" w:type="dxa"/>
            <w:vAlign w:val="bottom"/>
          </w:tcPr>
          <w:p>
            <w:pPr>
              <w:spacing w:after="0"/>
              <w:rPr>
                <w:sz w:val="24"/>
                <w:szCs w:val="24"/>
                <w:color w:val="auto"/>
              </w:rPr>
            </w:pPr>
          </w:p>
        </w:tc>
        <w:tc>
          <w:tcPr>
            <w:tcW w:w="132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29,</w:t>
            </w:r>
          </w:p>
        </w:tc>
      </w:tr>
      <w:tr>
        <w:trPr>
          <w:trHeight w:val="24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2026</w:t>
            </w:r>
          </w:p>
        </w:tc>
      </w:tr>
      <w:tr>
        <w:trPr>
          <w:trHeight w:val="237"/>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Short-term lease liability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r>
      <w:tr>
        <w:trPr>
          <w:trHeight w:val="243"/>
        </w:trPr>
        <w:tc>
          <w:tcPr>
            <w:tcW w:w="7940" w:type="dxa"/>
            <w:vAlign w:val="bottom"/>
          </w:tcPr>
          <w:p>
            <w:pPr>
              <w:ind w:left="360"/>
              <w:spacing w:after="0"/>
              <w:rPr>
                <w:sz w:val="20"/>
                <w:szCs w:val="20"/>
                <w:color w:val="auto"/>
              </w:rPr>
            </w:pPr>
            <w:r>
              <w:rPr>
                <w:rFonts w:ascii="Arial" w:cs="Arial" w:eastAsia="Arial" w:hAnsi="Arial"/>
                <w:sz w:val="18"/>
                <w:szCs w:val="18"/>
                <w:color w:val="auto"/>
              </w:rPr>
              <w:t>Contract liability</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1,580</w:t>
            </w:r>
          </w:p>
        </w:tc>
      </w:tr>
      <w:tr>
        <w:trPr>
          <w:trHeight w:val="243"/>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real estate taxes</w:t>
            </w: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w:t>
            </w:r>
          </w:p>
        </w:tc>
      </w:tr>
      <w:tr>
        <w:trPr>
          <w:trHeight w:val="243"/>
        </w:trPr>
        <w:tc>
          <w:tcPr>
            <w:tcW w:w="7940" w:type="dxa"/>
            <w:vAlign w:val="bottom"/>
          </w:tcPr>
          <w:p>
            <w:pPr>
              <w:ind w:left="360"/>
              <w:spacing w:after="0"/>
              <w:rPr>
                <w:sz w:val="20"/>
                <w:szCs w:val="20"/>
                <w:color w:val="auto"/>
              </w:rPr>
            </w:pPr>
            <w:r>
              <w:rPr>
                <w:rFonts w:ascii="Arial" w:cs="Arial" w:eastAsia="Arial" w:hAnsi="Arial"/>
                <w:sz w:val="18"/>
                <w:szCs w:val="18"/>
                <w:color w:val="auto"/>
              </w:rPr>
              <w:t>Current portion of deferred compensation liability</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1,334</w:t>
            </w:r>
          </w:p>
        </w:tc>
      </w:tr>
      <w:tr>
        <w:trPr>
          <w:trHeight w:val="243"/>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Container deposits</w:t>
            </w: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w:t>
            </w:r>
          </w:p>
        </w:tc>
      </w:tr>
      <w:tr>
        <w:trPr>
          <w:trHeight w:val="243"/>
        </w:trPr>
        <w:tc>
          <w:tcPr>
            <w:tcW w:w="7940" w:type="dxa"/>
            <w:vAlign w:val="bottom"/>
          </w:tcPr>
          <w:p>
            <w:pPr>
              <w:ind w:left="360"/>
              <w:spacing w:after="0"/>
              <w:rPr>
                <w:sz w:val="20"/>
                <w:szCs w:val="20"/>
                <w:color w:val="auto"/>
              </w:rPr>
            </w:pPr>
            <w:r>
              <w:rPr>
                <w:rFonts w:ascii="Arial" w:cs="Arial" w:eastAsia="Arial" w:hAnsi="Arial"/>
                <w:sz w:val="18"/>
                <w:szCs w:val="18"/>
                <w:color w:val="auto"/>
              </w:rPr>
              <w:t>Current portion of earnout liability</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4,529</w:t>
            </w:r>
          </w:p>
        </w:tc>
      </w:tr>
      <w:tr>
        <w:trPr>
          <w:trHeight w:val="243"/>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3,047</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4,069</w:t>
            </w:r>
          </w:p>
        </w:tc>
      </w:tr>
      <w:tr>
        <w:trPr>
          <w:trHeight w:val="237"/>
        </w:trPr>
        <w:tc>
          <w:tcPr>
            <w:tcW w:w="7940" w:type="dxa"/>
            <w:vAlign w:val="bottom"/>
          </w:tcPr>
          <w:p>
            <w:pPr>
              <w:ind w:left="36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14,676</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17,119</w:t>
            </w:r>
          </w:p>
        </w:tc>
      </w:tr>
      <w:tr>
        <w:trPr>
          <w:trHeight w:val="21"/>
        </w:trPr>
        <w:tc>
          <w:tcPr>
            <w:tcW w:w="7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Debt</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party to a second amended and restated credit agreement with U.S. Bank National Association (“U.S. Bank”) as administrative agent, sole lead arranger and sole book runner, and the other lenders from time to time party thereto (collectively, the “Lenders”), dated as of March 31, 2022 (and as amended, restated or modified from time to time, the “Credit Agreement”). A Joinder, Consent and Second Amendment dated April 25, 2025 increased the revolving commitment under the Credit Agreement to provide us with senior secured revolving credit facilities (the “Revolving Loan Facility”) totaling $400.0 million. A Third Amendment dated October 15, 2025, modified terms related to qualified receivables transactions, as defined in the Credit Agreement. The Revolving Loan Facility includes a $10.0 million letter of credit subfacility and $ 25.0 million swingline subfacility. The Revolving Loan Facility is secured by substantially all of our personal property assets and those of our subsidiaries, and is scheduled to mature on April 25, 2030.</w:t>
      </w:r>
    </w:p>
    <w:p>
      <w:pPr>
        <w:spacing w:after="0" w:line="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the first quarter of fiscal 2026, we drew approximately $150 million of additional proceeds to acquire substantially all of the assets of WaterSurplus as discussed in Note 2. We may use other proceeds from the Revolving Loan Facility for working capital, capital expenditures, share repurchases, restricted payments and other acquisitions permitted under the Credit Agreement, and other general corporate purposes.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 paid fees of approximately $1.0 million in fiscal 2026 associated with the April 2025 refinancing.</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Borrowings under the Revolving Loan Facility bear interest at a variable rate based on term SOFR plus a margin. We have an interest rate swap in place to manage the risk associated with a portion of our variable-rate debt. The notional amount of the swap agreement is $60 million. At September 27, 2026, the effective interest rate on our borrowings was 4.3%.</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700" w:type="dxa"/>
            <w:vAlign w:val="bottom"/>
          </w:tcPr>
          <w:p>
            <w:pPr>
              <w:spacing w:after="0"/>
              <w:rPr>
                <w:sz w:val="20"/>
                <w:szCs w:val="20"/>
                <w:color w:val="auto"/>
              </w:rPr>
            </w:pPr>
            <w:r>
              <w:rPr>
                <w:rFonts w:ascii="Arial" w:cs="Arial" w:eastAsia="Arial" w:hAnsi="Arial"/>
                <w:sz w:val="18"/>
                <w:szCs w:val="18"/>
                <w:color w:val="auto"/>
              </w:rPr>
              <w:t>As of September 27, 2026, we were in compliance with all required covenants.</w:t>
            </w: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24"/>
        </w:trPr>
        <w:tc>
          <w:tcPr>
            <w:tcW w:w="7700" w:type="dxa"/>
            <w:vAlign w:val="bottom"/>
          </w:tcPr>
          <w:p>
            <w:pPr>
              <w:spacing w:after="0"/>
              <w:rPr>
                <w:sz w:val="20"/>
                <w:szCs w:val="20"/>
                <w:color w:val="auto"/>
              </w:rPr>
            </w:pPr>
            <w:r>
              <w:rPr>
                <w:rFonts w:ascii="Arial" w:cs="Arial" w:eastAsia="Arial" w:hAnsi="Arial"/>
                <w:sz w:val="18"/>
                <w:szCs w:val="18"/>
                <w:color w:val="auto"/>
              </w:rPr>
              <w:t>Debt at September 27, 2026 and March 29, 2026 consisted of the following:</w:t>
            </w: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20"/>
        </w:trPr>
        <w:tc>
          <w:tcPr>
            <w:tcW w:w="7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September 27,</w:t>
            </w:r>
          </w:p>
        </w:tc>
        <w:tc>
          <w:tcPr>
            <w:tcW w:w="220" w:type="dxa"/>
            <w:vAlign w:val="bottom"/>
          </w:tcPr>
          <w:p>
            <w:pPr>
              <w:spacing w:after="0"/>
              <w:rPr>
                <w:sz w:val="24"/>
                <w:szCs w:val="24"/>
                <w:color w:val="auto"/>
              </w:rPr>
            </w:pPr>
          </w:p>
        </w:tc>
        <w:tc>
          <w:tcPr>
            <w:tcW w:w="128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March 29,</w:t>
            </w:r>
          </w:p>
        </w:tc>
      </w:tr>
      <w:tr>
        <w:trPr>
          <w:trHeight w:val="243"/>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2026</w:t>
            </w:r>
          </w:p>
        </w:tc>
        <w:tc>
          <w:tcPr>
            <w:tcW w:w="1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2026</w:t>
            </w:r>
          </w:p>
        </w:tc>
      </w:tr>
      <w:tr>
        <w:trPr>
          <w:trHeight w:val="236"/>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Revolving Loan Facility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229,000</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244,000</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U.S. federal income tax as well as income tax of multiple state jurisdictions. The tax years prior to our fiscal year ended April 2, 2023 are closed to examination by the Internal Revenue Service, and with few exceptions, state and local income tax jurisdictions. Our effective income tax rate was approximately 30% and 27% for the three and six months ended September 27, 2026, respectively. Our effective income tax rate was approximately 27% and 26% for the three and six months ended September 28, 2025, respectively. The effective income tax rate for each period exceeded the U.S. federal statutory rate of 21%, primarily due to state income taxes on non-deductible expenses, including executive compensation and other permanent items. The increase in the effective income tax rate compared with prior-periods was primarily due to higher state income taxes and an increase in non-deductible items. The effective tax rate is impacted by projected levels of annual taxable income, permanent items, state taxes and discrete items, including tax effects of stock-based compensation.</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11 – Share-Based Compensation</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Performance-Based Restricted Stock Units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Board of Directors (the “Board”) approved a performance-based equity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arrangement for our executive officers during the first quarters of each of fiscal 2027 and fiscal 2026. These performance-based arrangements provide for the grant of performance-based restricted stock units under our 2019 Equity Incentive Plan (the "2019 Plan") that represent a possible future issuance of restricted shares of our common stock based on a pre-tax income target for the applicable fiscal year. The actual number of restricted shares to be issued to each executive officer is determined when our final financial information becomes available after the applicable fiscal year and will be between zero shares and 40,962 shares in the aggregate for fiscal 2027. The restricted shares issued, if any, will fully vest approximately two years after the last day of the fiscal year on which the performance is based. We are recording the compensation expense for the outstanding performance share units and the converted restricted stock over the life of the awards.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restricted stock activity for the six months ended September 27, 2026:</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center"/>
              <w:ind w:right="94"/>
              <w:spacing w:after="0"/>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7780" w:type="dxa"/>
            <w:vAlign w:val="bottom"/>
          </w:tcPr>
          <w:p>
            <w:pPr>
              <w:spacing w:after="0"/>
              <w:rPr>
                <w:sz w:val="14"/>
                <w:szCs w:val="14"/>
                <w:color w:val="auto"/>
              </w:rPr>
            </w:pPr>
          </w:p>
        </w:tc>
        <w:tc>
          <w:tcPr>
            <w:tcW w:w="1400" w:type="dxa"/>
            <w:vAlign w:val="bottom"/>
            <w:gridSpan w:val="2"/>
            <w:vMerge w:val="restart"/>
          </w:tcPr>
          <w:p>
            <w:pPr>
              <w:ind w:left="380"/>
              <w:spacing w:after="0"/>
              <w:rPr>
                <w:sz w:val="20"/>
                <w:szCs w:val="20"/>
                <w:color w:val="auto"/>
              </w:rPr>
            </w:pPr>
            <w:r>
              <w:rPr>
                <w:rFonts w:ascii="Arial" w:cs="Arial" w:eastAsia="Arial" w:hAnsi="Arial"/>
                <w:sz w:val="16"/>
                <w:szCs w:val="16"/>
                <w:b w:val="1"/>
                <w:bCs w:val="1"/>
                <w:color w:val="auto"/>
              </w:rPr>
              <w:t>Shares</w:t>
            </w:r>
          </w:p>
        </w:tc>
        <w:tc>
          <w:tcPr>
            <w:tcW w:w="180" w:type="dxa"/>
            <w:vAlign w:val="bottom"/>
          </w:tcPr>
          <w:p>
            <w:pPr>
              <w:spacing w:after="0"/>
              <w:rPr>
                <w:sz w:val="14"/>
                <w:szCs w:val="14"/>
                <w:color w:val="auto"/>
              </w:rPr>
            </w:pPr>
          </w:p>
        </w:tc>
        <w:tc>
          <w:tcPr>
            <w:tcW w:w="1480" w:type="dxa"/>
            <w:vAlign w:val="bottom"/>
          </w:tcPr>
          <w:p>
            <w:pPr>
              <w:jc w:val="center"/>
              <w:ind w:right="94"/>
              <w:spacing w:after="0" w:line="162" w:lineRule="exact"/>
              <w:rPr>
                <w:sz w:val="20"/>
                <w:szCs w:val="20"/>
                <w:color w:val="auto"/>
              </w:rPr>
            </w:pPr>
            <w:r>
              <w:rPr>
                <w:rFonts w:ascii="Arial" w:cs="Arial" w:eastAsia="Arial" w:hAnsi="Arial"/>
                <w:sz w:val="16"/>
                <w:szCs w:val="16"/>
                <w:b w:val="1"/>
                <w:bCs w:val="1"/>
                <w:color w:val="auto"/>
                <w:w w:val="99"/>
              </w:rPr>
              <w:t>Average Grant</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center"/>
              <w:ind w:right="74"/>
              <w:spacing w:after="0"/>
              <w:rPr>
                <w:sz w:val="20"/>
                <w:szCs w:val="20"/>
                <w:color w:val="auto"/>
              </w:rPr>
            </w:pPr>
            <w:r>
              <w:rPr>
                <w:rFonts w:ascii="Arial" w:cs="Arial" w:eastAsia="Arial" w:hAnsi="Arial"/>
                <w:sz w:val="16"/>
                <w:szCs w:val="16"/>
                <w:b w:val="1"/>
                <w:bCs w:val="1"/>
                <w:color w:val="auto"/>
              </w:rPr>
              <w:t>Date Fair Value</w:t>
            </w:r>
          </w:p>
        </w:tc>
        <w:tc>
          <w:tcPr>
            <w:tcW w:w="0" w:type="dxa"/>
            <w:vAlign w:val="bottom"/>
          </w:tcPr>
          <w:p>
            <w:pPr>
              <w:spacing w:after="0"/>
              <w:rPr>
                <w:sz w:val="1"/>
                <w:szCs w:val="1"/>
                <w:color w:val="auto"/>
              </w:rPr>
            </w:pPr>
          </w:p>
        </w:tc>
      </w:tr>
      <w:tr>
        <w:trPr>
          <w:trHeight w:val="237"/>
        </w:trPr>
        <w:tc>
          <w:tcPr>
            <w:tcW w:w="7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beginning of period</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136,846</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95.93</w:t>
            </w:r>
          </w:p>
        </w:tc>
        <w:tc>
          <w:tcPr>
            <w:tcW w:w="0" w:type="dxa"/>
            <w:vAlign w:val="bottom"/>
          </w:tcPr>
          <w:p>
            <w:pPr>
              <w:spacing w:after="0"/>
              <w:rPr>
                <w:sz w:val="1"/>
                <w:szCs w:val="1"/>
                <w:color w:val="auto"/>
              </w:rPr>
            </w:pPr>
          </w:p>
        </w:tc>
      </w:tr>
      <w:tr>
        <w:trPr>
          <w:trHeight w:val="243"/>
        </w:trPr>
        <w:tc>
          <w:tcPr>
            <w:tcW w:w="7780" w:type="dxa"/>
            <w:vAlign w:val="bottom"/>
          </w:tcPr>
          <w:p>
            <w:pPr>
              <w:ind w:left="2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38,224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161.83</w:t>
            </w:r>
          </w:p>
        </w:tc>
        <w:tc>
          <w:tcPr>
            <w:tcW w:w="0" w:type="dxa"/>
            <w:vAlign w:val="bottom"/>
          </w:tcPr>
          <w:p>
            <w:pPr>
              <w:spacing w:after="0"/>
              <w:rPr>
                <w:sz w:val="1"/>
                <w:szCs w:val="1"/>
                <w:color w:val="auto"/>
              </w:rPr>
            </w:pPr>
          </w:p>
        </w:tc>
      </w:tr>
      <w:tr>
        <w:trPr>
          <w:trHeight w:val="24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(70,859)</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76.60</w:t>
            </w:r>
          </w:p>
        </w:tc>
        <w:tc>
          <w:tcPr>
            <w:tcW w:w="0" w:type="dxa"/>
            <w:vAlign w:val="bottom"/>
          </w:tcPr>
          <w:p>
            <w:pPr>
              <w:spacing w:after="0"/>
              <w:rPr>
                <w:sz w:val="1"/>
                <w:szCs w:val="1"/>
                <w:color w:val="auto"/>
              </w:rPr>
            </w:pPr>
          </w:p>
        </w:tc>
      </w:tr>
      <w:tr>
        <w:trPr>
          <w:trHeight w:val="237"/>
        </w:trPr>
        <w:tc>
          <w:tcPr>
            <w:tcW w:w="7780" w:type="dxa"/>
            <w:vAlign w:val="bottom"/>
          </w:tcPr>
          <w:p>
            <w:pPr>
              <w:ind w:left="20"/>
              <w:spacing w:after="0"/>
              <w:rPr>
                <w:sz w:val="20"/>
                <w:szCs w:val="20"/>
                <w:color w:val="auto"/>
              </w:rPr>
            </w:pPr>
            <w:r>
              <w:rPr>
                <w:rFonts w:ascii="Arial" w:cs="Arial" w:eastAsia="Arial" w:hAnsi="Arial"/>
                <w:sz w:val="18"/>
                <w:szCs w:val="18"/>
                <w:color w:val="auto"/>
              </w:rPr>
              <w:t>Unvested at end of period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104,211</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133.25</w:t>
            </w:r>
          </w:p>
        </w:tc>
        <w:tc>
          <w:tcPr>
            <w:tcW w:w="0" w:type="dxa"/>
            <w:vAlign w:val="bottom"/>
          </w:tcPr>
          <w:p>
            <w:pPr>
              <w:spacing w:after="0"/>
              <w:rPr>
                <w:sz w:val="1"/>
                <w:szCs w:val="1"/>
                <w:color w:val="auto"/>
              </w:rPr>
            </w:pPr>
          </w:p>
        </w:tc>
      </w:tr>
      <w:tr>
        <w:trPr>
          <w:trHeight w:val="21"/>
        </w:trPr>
        <w:tc>
          <w:tcPr>
            <w:tcW w:w="77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recorded compensation expense related to performance share units and restricted stock of $1.4 million for the three months ended September 27, 2026 and $1.9 million for the three months ended September 28, 2025. We recorded compensation expense related to performance share units and restricted stock of $3.1 million for the six months ended September 27, 2026 and $3.6 million for the six months ended September 28, 2025. Substantially all of the compensation expense was recorded in selling, general and administrative expenses in the condensed consolidated statements of income.</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Restricted Stock Awards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part of their retainer, our directors, other than the Chief Executive Officer, receive restricted stock for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services. The restricted stock awards are under our 2019 Plan and are generally expensed over a one-year vesting period, based on the market value on the date of grant. As of September 27, 2026, there were 4,326 shares of restricted stock with an average grant date fair value of $138.60 outstanding under this program. Compensation expense related to restricted stock awards to the Board was $0.2 million for both the three months ended September 27, 2026 and September 28, 2025. Compensation expense related to restricted stock awards to the Board was $0.3 million for both the six months ended September 27, 2026 and September 28, 2025.</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second quarter of fiscal 2026, certain employees from the WaterSurplus acquisition received restricted stock awards under the 2019 Plan, primarily to incentivize their continued service. The restricted stock awards will be expensed over a three-year vesting period, based on the market value on the date of grant. As of September 27, 2026, there were 8,713 shares of restricted stock with an average grant date fair value of $142.10 outstanding under this program. Compensation expense related to restricted stock awards to certain WaterSurplus employees was $0.1 million for both the three months ended September 27, 2026 and September 28, 2025. Compensation expense related to restricted stock awards to WaterSurplus was $0.2 million for the six months ended September 27, 2026 and $0.1 million for the six months ended September 28, 2025.</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Share Repurchase Program</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Board has authorized the repurchase of up to 2.6 million shares of our outstanding common shares. The shares may be repurchased on the open market or in privately negotiated transactions subject to applicable securities laws and regulations. Upon purchase of the shares, we reduce our common stock for the par value of the shares with the excess applied against additional paid-in capital. During the three months ended September 27, 2026, we repurchased 87,381 shares at an aggregate purchase price of $11.6 million, and during the six months ended September 27, 2026, we repurchased 132,577 shares at an aggregate purchase price of $18.6 million. During the three and six months ended September 28, 2025, we repurchased no shares of common stock. As of September 27, 2026, 598,967 shares remained available to be repurchased under the share repurchase program.</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13 – Commitments and Contingencies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Environmental Remediation. </w:t>
      </w:r>
      <w:r>
        <w:rPr>
          <w:rFonts w:ascii="Arial" w:cs="Arial" w:eastAsia="Arial" w:hAnsi="Arial"/>
          <w:sz w:val="18"/>
          <w:szCs w:val="18"/>
          <w:color w:val="auto"/>
        </w:rPr>
        <w:t>In fiscal 2024, we recorded a liability of $7.7 million related to estimated remediation expenses associated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perchlorinated biphenyls ("PCBs") discovered in the soil at our Rosemount, Minnesota facility during an expansion project. This charge was recorded as an operating expense within cost of sales in our fiscal 2024 condensed consolidated statement of income. We acquired the property, which had prior heavy industrial use, in fiscal 2012. While the source of the PCBs is unknown, we have never brought PCBs onto the property or used PCBs on the site. Given the many uncertainties involved in assessing environmental matters, actual remediation expenses could differ from our estimates. While additional remediation expenses are reasonably possible to be incurred in future periods if new information or conditions are identified, we are unable to reasonably estimate the amount or range of any such additional expenses at this time. The liability is recorded in current liabilities on our condensed consolidated balance sheets and is not discounted as we expect to incur these expenses within the next twelve months. No additional expenses were incurred related to this liability during the six months ended September 27, 2026 and September 28, 2025.</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Segment Information</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We organize and manage our business by the following three segments, each of which meets the definition of reportable segments under ASC 280-10, </w:t>
      </w:r>
      <w:r>
        <w:rPr>
          <w:rFonts w:ascii="Arial" w:cs="Arial" w:eastAsia="Arial" w:hAnsi="Arial"/>
          <w:sz w:val="18"/>
          <w:szCs w:val="18"/>
          <w:i w:val="1"/>
          <w:iCs w:val="1"/>
          <w:color w:val="auto"/>
        </w:rPr>
        <w:t>Segment Reporting</w:t>
      </w:r>
      <w:r>
        <w:rPr>
          <w:rFonts w:ascii="Arial" w:cs="Arial" w:eastAsia="Arial" w:hAnsi="Arial"/>
          <w:sz w:val="18"/>
          <w:szCs w:val="18"/>
          <w:color w:val="auto"/>
        </w:rPr>
        <w:t>: Water Treatment, Food &amp; Health Sciences, and Industrial Solutions. These segments are defined primarily by product and type of customer.</w:t>
      </w:r>
    </w:p>
    <w:p>
      <w:pPr>
        <w:spacing w:after="0" w:line="63" w:lineRule="exact"/>
        <w:rPr>
          <w:sz w:val="20"/>
          <w:szCs w:val="20"/>
          <w:color w:val="auto"/>
        </w:rPr>
      </w:pPr>
    </w:p>
    <w:p>
      <w:pPr>
        <w:jc w:val="both"/>
        <w:ind w:left="660" w:hanging="328"/>
        <w:spacing w:after="0" w:line="262" w:lineRule="auto"/>
        <w:tabs>
          <w:tab w:leader="none" w:pos="628"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Our Water Treatment Group specializes in providing chemicals, filtration media and systems,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and solutions for potable water, municipal and industrial wastewater, industrial process water, mainly non-residential swimming pool water and agricultural water. This group has the resources and flexibility to treat systems ranging in size from a single small well to a multi-million-gallon-per-day facility.</w:t>
      </w:r>
    </w:p>
    <w:p>
      <w:pPr>
        <w:spacing w:after="0" w:line="68" w:lineRule="exact"/>
        <w:rPr>
          <w:rFonts w:ascii="Arial" w:cs="Arial" w:eastAsia="Arial" w:hAnsi="Arial"/>
          <w:sz w:val="18"/>
          <w:szCs w:val="18"/>
          <w:i w:val="1"/>
          <w:iCs w:val="1"/>
          <w:color w:val="auto"/>
        </w:rPr>
      </w:pPr>
    </w:p>
    <w:p>
      <w:pPr>
        <w:jc w:val="both"/>
        <w:ind w:left="660" w:hanging="328"/>
        <w:spacing w:after="0" w:line="262" w:lineRule="auto"/>
        <w:tabs>
          <w:tab w:leader="none" w:pos="628"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Food and Health Sciences Segment. </w:t>
      </w:r>
      <w:r>
        <w:rPr>
          <w:rFonts w:ascii="Arial" w:cs="Arial" w:eastAsia="Arial" w:hAnsi="Arial"/>
          <w:sz w:val="18"/>
          <w:szCs w:val="18"/>
          <w:color w:val="auto"/>
        </w:rPr>
        <w:t>Our Food and Health Sciences Group specializes in processing and formulation solutions as</w:t>
      </w:r>
      <w:r>
        <w:rPr>
          <w:rFonts w:ascii="Arial" w:cs="Arial" w:eastAsia="Arial" w:hAnsi="Arial"/>
          <w:sz w:val="18"/>
          <w:szCs w:val="18"/>
          <w:i w:val="1"/>
          <w:iCs w:val="1"/>
          <w:color w:val="auto"/>
        </w:rPr>
        <w:t xml:space="preserve"> </w:t>
      </w:r>
      <w:r>
        <w:rPr>
          <w:rFonts w:ascii="Arial" w:cs="Arial" w:eastAsia="Arial" w:hAnsi="Arial"/>
          <w:sz w:val="18"/>
          <w:szCs w:val="18"/>
          <w:color w:val="auto"/>
        </w:rPr>
        <w:t>well as ingredient distribution to manufacturers in the nutrition, food, pharmaceutical, and agricultural markets. This group offers a diverse product portfolio, including base chemistry, acid based reactions, minerals, vitamins and amino acids, excipients, botanicals and herbs, sweeteners and enzymes, fertilizers, and food-grade and pharmaceutical salts and ingredients.</w:t>
      </w:r>
    </w:p>
    <w:p>
      <w:pPr>
        <w:spacing w:after="0" w:line="68" w:lineRule="exact"/>
        <w:rPr>
          <w:rFonts w:ascii="Arial" w:cs="Arial" w:eastAsia="Arial" w:hAnsi="Arial"/>
          <w:sz w:val="18"/>
          <w:szCs w:val="18"/>
          <w:color w:val="auto"/>
        </w:rPr>
      </w:pPr>
    </w:p>
    <w:p>
      <w:pPr>
        <w:jc w:val="both"/>
        <w:ind w:left="660" w:hanging="328"/>
        <w:spacing w:after="0" w:line="255" w:lineRule="auto"/>
        <w:tabs>
          <w:tab w:leader="none" w:pos="628"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Industrial Solutions Segment. </w:t>
      </w:r>
      <w:r>
        <w:rPr>
          <w:rFonts w:ascii="Arial" w:cs="Arial" w:eastAsia="Arial" w:hAnsi="Arial"/>
          <w:sz w:val="18"/>
          <w:szCs w:val="18"/>
          <w:color w:val="auto"/>
        </w:rPr>
        <w:t>Our Industrial Solutions Group specializes in providing industrial chemicals, products and services to</w:t>
      </w:r>
      <w:r>
        <w:rPr>
          <w:rFonts w:ascii="Arial" w:cs="Arial" w:eastAsia="Arial" w:hAnsi="Arial"/>
          <w:sz w:val="18"/>
          <w:szCs w:val="18"/>
          <w:i w:val="1"/>
          <w:iCs w:val="1"/>
          <w:color w:val="auto"/>
        </w:rPr>
        <w:t xml:space="preserve"> </w:t>
      </w:r>
      <w:r>
        <w:rPr>
          <w:rFonts w:ascii="Arial" w:cs="Arial" w:eastAsia="Arial" w:hAnsi="Arial"/>
          <w:sz w:val="18"/>
          <w:szCs w:val="18"/>
          <w:color w:val="auto"/>
        </w:rPr>
        <w:t>industries such as industrial manufacturing, chemical processing, electronics, energy, plating, and surface finishing. This group’s principal products are acids and alkalis. This segment receives, stores and distributes various chemicals in bulk quantities, including liquid caustic soda, sulfuric acid, hydrochloric acid, urea, phosphoric acid, aqua ammonia and potassium hydroxide. This group performs customer blending of chemicals according to customer formulas and specifications and repackages bulk industrial chemicals to sell in smaller quantities to our customers. The Industrial Solutions group relies on a specially trained sales staff that works directly with customers on their specific needs. This segment conducts its business primarily through manufacturing locations and terminal operations.</w:t>
      </w:r>
    </w:p>
    <w:p>
      <w:pPr>
        <w:spacing w:after="0" w:line="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chief operating decision-maker (CODM), who is our President and Chief Executive Officer, regularly reviews the consolidated financial statements in their entirety and financial information at the reportable segment level. The CODM uses operating income and considers budget-to -actual variances on a quarterly basis when making decisions about the allocation of operating and capital resources to each segment. The CODM also uses segment operating income for evaluating pricing strategy, to assess the performance of each segment by comparing the results of each segment with one another, and in determining the compensation of certain employees. The CODM has ultimate responsibility for enterprise decisions and making resource allocation decisions for the Company and the segments.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accounting policies of the segments are the same as those described in the summary of significant accounting policies.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Product costs and expenses for each segment are based on actual costs incurred along with cost allocations of shared and centralized functions. Raw materials are transferred between segments at material cost, capitalized freight, and capitalized internal production and warehousing costs, with the offset settled in a balance sheet clearing account. Capitalized freight and capitalized internal production and warehousing costs are calculated and applied to inventory on an item level basis using per unit estimates that are based on historical costs or time and effort measures as appropriate. We do not record intersegment sales, and no operating segments have been aggregated.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In fiscal 2027 and 2026, none of our customers accounted for 10% or more of our total sales.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6" w:name="page17"/>
    <w:bookmarkEnd w:id="16"/>
    <w:p>
      <w:pPr>
        <w:ind w:right="20"/>
        <w:spacing w:after="0" w:line="287" w:lineRule="auto"/>
        <w:rPr>
          <w:sz w:val="20"/>
          <w:szCs w:val="20"/>
          <w:color w:val="auto"/>
        </w:rPr>
      </w:pPr>
      <w:r>
        <w:rPr>
          <w:rFonts w:ascii="Arial" w:cs="Arial" w:eastAsia="Arial" w:hAnsi="Arial"/>
          <w:sz w:val="18"/>
          <w:szCs w:val="18"/>
          <w:color w:val="auto"/>
        </w:rPr>
        <w:t>Summarized financial information for our reportable segments is presented and reconciled to consolidated financial information in the following tables: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Water</w:t>
            </w:r>
          </w:p>
        </w:tc>
        <w:tc>
          <w:tcPr>
            <w:tcW w:w="15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9"/>
              </w:rPr>
              <w:t>Food &amp; Health</w:t>
            </w:r>
          </w:p>
        </w:tc>
        <w:tc>
          <w:tcPr>
            <w:tcW w:w="220" w:type="dxa"/>
            <w:vAlign w:val="bottom"/>
          </w:tcPr>
          <w:p>
            <w:pPr>
              <w:spacing w:after="0"/>
              <w:rPr>
                <w:sz w:val="17"/>
                <w:szCs w:val="17"/>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Industrial</w:t>
            </w:r>
          </w:p>
        </w:tc>
        <w:tc>
          <w:tcPr>
            <w:tcW w:w="320" w:type="dxa"/>
            <w:vAlign w:val="bottom"/>
          </w:tcPr>
          <w:p>
            <w:pPr>
              <w:spacing w:after="0"/>
              <w:rPr>
                <w:sz w:val="17"/>
                <w:szCs w:val="17"/>
                <w:color w:val="auto"/>
              </w:rPr>
            </w:pPr>
          </w:p>
        </w:tc>
        <w:tc>
          <w:tcPr>
            <w:tcW w:w="130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9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21"/>
                <w:szCs w:val="21"/>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8"/>
              </w:rPr>
              <w:t>Treatment</w:t>
            </w:r>
          </w:p>
        </w:tc>
        <w:tc>
          <w:tcPr>
            <w:tcW w:w="220" w:type="dxa"/>
            <w:vAlign w:val="bottom"/>
          </w:tcPr>
          <w:p>
            <w:pPr>
              <w:spacing w:after="0"/>
              <w:rPr>
                <w:sz w:val="21"/>
                <w:szCs w:val="21"/>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Sciences</w:t>
            </w:r>
          </w:p>
        </w:tc>
        <w:tc>
          <w:tcPr>
            <w:tcW w:w="220" w:type="dxa"/>
            <w:vAlign w:val="bottom"/>
          </w:tcPr>
          <w:p>
            <w:pPr>
              <w:spacing w:after="0"/>
              <w:rPr>
                <w:sz w:val="21"/>
                <w:szCs w:val="21"/>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Solutions</w:t>
            </w:r>
          </w:p>
        </w:tc>
        <w:tc>
          <w:tcPr>
            <w:tcW w:w="320" w:type="dxa"/>
            <w:vAlign w:val="bottom"/>
          </w:tcPr>
          <w:p>
            <w:pPr>
              <w:spacing w:after="0"/>
              <w:rPr>
                <w:sz w:val="21"/>
                <w:szCs w:val="21"/>
                <w:color w:val="auto"/>
              </w:rPr>
            </w:pPr>
          </w:p>
        </w:tc>
        <w:tc>
          <w:tcPr>
            <w:tcW w:w="130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Three months ended September 27, 2026:</w:t>
            </w:r>
          </w:p>
        </w:tc>
        <w:tc>
          <w:tcPr>
            <w:tcW w:w="2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360"/>
              <w:spacing w:after="0"/>
              <w:rPr>
                <w:sz w:val="20"/>
                <w:szCs w:val="20"/>
                <w:color w:val="auto"/>
              </w:rPr>
            </w:pPr>
            <w:r>
              <w:rPr>
                <w:rFonts w:ascii="Arial" w:cs="Arial" w:eastAsia="Arial" w:hAnsi="Arial"/>
                <w:sz w:val="18"/>
                <w:szCs w:val="18"/>
                <w:color w:val="auto"/>
              </w:rPr>
              <w:t>Sales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174,961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76,679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62,177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313,817</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sales - materials</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(104,388)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(57,350)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(49,294)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360"/>
              <w:spacing w:after="0"/>
              <w:rPr>
                <w:sz w:val="20"/>
                <w:szCs w:val="20"/>
                <w:color w:val="auto"/>
              </w:rPr>
            </w:pPr>
            <w:r>
              <w:rPr>
                <w:rFonts w:ascii="Arial" w:cs="Arial" w:eastAsia="Arial" w:hAnsi="Arial"/>
                <w:sz w:val="18"/>
                <w:szCs w:val="18"/>
                <w:color w:val="auto"/>
              </w:rPr>
              <w:t>Cost of sales - operational overhead</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(18,824)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(23,477)</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(7,941)</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(3,282)</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40" w:type="dxa"/>
            <w:vAlign w:val="bottom"/>
          </w:tcPr>
          <w:p>
            <w:pPr>
              <w:ind w:left="36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28,272</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6,956</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41,906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360"/>
              <w:spacing w:after="0"/>
              <w:rPr>
                <w:sz w:val="20"/>
                <w:szCs w:val="20"/>
                <w:color w:val="auto"/>
              </w:rPr>
            </w:pPr>
            <w:r>
              <w:rPr>
                <w:rFonts w:ascii="Arial" w:cs="Arial" w:eastAsia="Arial" w:hAnsi="Arial"/>
                <w:sz w:val="18"/>
                <w:szCs w:val="18"/>
                <w:color w:val="auto"/>
              </w:rPr>
              <w:t>Other income</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264</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(11,746)</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4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27,781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Identifiable assets*</w:t>
            </w: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579,587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252,876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147,575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980,038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360"/>
              <w:spacing w:after="0"/>
              <w:rPr>
                <w:sz w:val="20"/>
                <w:szCs w:val="20"/>
                <w:color w:val="auto"/>
              </w:rPr>
            </w:pPr>
            <w:r>
              <w:rPr>
                <w:rFonts w:ascii="Arial" w:cs="Arial" w:eastAsia="Arial" w:hAnsi="Arial"/>
                <w:sz w:val="18"/>
                <w:szCs w:val="18"/>
                <w:color w:val="auto"/>
              </w:rPr>
              <w:t>Capital expenditures</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6,874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2,078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10,750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14,295</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b w:val="1"/>
                <w:bCs w:val="1"/>
                <w:color w:val="auto"/>
              </w:rPr>
              <w:t>Three months ended September 28, 2025:</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150,908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72,914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56,612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280,434</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360"/>
              <w:spacing w:after="0"/>
              <w:rPr>
                <w:sz w:val="20"/>
                <w:szCs w:val="20"/>
                <w:color w:val="auto"/>
              </w:rPr>
            </w:pPr>
            <w:r>
              <w:rPr>
                <w:rFonts w:ascii="Arial" w:cs="Arial" w:eastAsia="Arial" w:hAnsi="Arial"/>
                <w:sz w:val="18"/>
                <w:szCs w:val="18"/>
                <w:color w:val="auto"/>
              </w:rPr>
              <w:t>Cost of sales - materials</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(88,814)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(53,153)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(45,131)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sales - operational overhead</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(22,071)</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(8,084)</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(3,548)</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33,940</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Interest expense, net</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(3,832)</w:t>
            </w: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9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CCEEFF"/>
            </w:tcBorders>
          </w:tcPr>
          <w:p>
            <w:pPr>
              <w:spacing w:after="0"/>
              <w:rPr>
                <w:sz w:val="21"/>
                <w:szCs w:val="21"/>
                <w:color w:val="auto"/>
              </w:rPr>
            </w:pPr>
          </w:p>
        </w:tc>
        <w:tc>
          <w:tcPr>
            <w:tcW w:w="12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2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4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22,598</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Identifiable assets*</w:t>
            </w: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569,338</w:t>
            </w: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247,644</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135,082</w:t>
            </w: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952,064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expenditures</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10,798</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49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7,854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13,262</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8"/>
        </w:trPr>
        <w:tc>
          <w:tcPr>
            <w:tcW w:w="4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ind w:right="59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9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4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Water</w:t>
            </w:r>
          </w:p>
        </w:tc>
        <w:tc>
          <w:tcPr>
            <w:tcW w:w="15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9"/>
              </w:rPr>
              <w:t>Food &amp; Health</w:t>
            </w:r>
          </w:p>
        </w:tc>
        <w:tc>
          <w:tcPr>
            <w:tcW w:w="220" w:type="dxa"/>
            <w:vAlign w:val="bottom"/>
          </w:tcPr>
          <w:p>
            <w:pPr>
              <w:spacing w:after="0"/>
              <w:rPr>
                <w:sz w:val="17"/>
                <w:szCs w:val="17"/>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Industrial</w:t>
            </w:r>
          </w:p>
        </w:tc>
        <w:tc>
          <w:tcPr>
            <w:tcW w:w="320" w:type="dxa"/>
            <w:vAlign w:val="bottom"/>
          </w:tcPr>
          <w:p>
            <w:pPr>
              <w:spacing w:after="0"/>
              <w:rPr>
                <w:sz w:val="17"/>
                <w:szCs w:val="17"/>
                <w:color w:val="auto"/>
              </w:rPr>
            </w:pPr>
          </w:p>
        </w:tc>
        <w:tc>
          <w:tcPr>
            <w:tcW w:w="114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9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21"/>
                <w:szCs w:val="21"/>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8"/>
              </w:rPr>
              <w:t>Treatment</w:t>
            </w:r>
          </w:p>
        </w:tc>
        <w:tc>
          <w:tcPr>
            <w:tcW w:w="220" w:type="dxa"/>
            <w:vAlign w:val="bottom"/>
          </w:tcPr>
          <w:p>
            <w:pPr>
              <w:spacing w:after="0"/>
              <w:rPr>
                <w:sz w:val="21"/>
                <w:szCs w:val="21"/>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Sciences</w:t>
            </w:r>
          </w:p>
        </w:tc>
        <w:tc>
          <w:tcPr>
            <w:tcW w:w="220" w:type="dxa"/>
            <w:vAlign w:val="bottom"/>
          </w:tcPr>
          <w:p>
            <w:pPr>
              <w:spacing w:after="0"/>
              <w:rPr>
                <w:sz w:val="21"/>
                <w:szCs w:val="21"/>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Solutions</w:t>
            </w:r>
          </w:p>
        </w:tc>
        <w:tc>
          <w:tcPr>
            <w:tcW w:w="32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Six months ended September 27, 2026:</w:t>
            </w:r>
          </w:p>
        </w:tc>
        <w:tc>
          <w:tcPr>
            <w:tcW w:w="2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360"/>
              <w:spacing w:after="0"/>
              <w:rPr>
                <w:sz w:val="20"/>
                <w:szCs w:val="20"/>
                <w:color w:val="auto"/>
              </w:rPr>
            </w:pPr>
            <w:r>
              <w:rPr>
                <w:rFonts w:ascii="Arial" w:cs="Arial" w:eastAsia="Arial" w:hAnsi="Arial"/>
                <w:sz w:val="18"/>
                <w:szCs w:val="18"/>
                <w:color w:val="auto"/>
              </w:rPr>
              <w:t>Sales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333,254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173,929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122,309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629,492</w:t>
            </w:r>
          </w:p>
        </w:tc>
        <w:tc>
          <w:tcPr>
            <w:tcW w:w="0" w:type="dxa"/>
            <w:vAlign w:val="bottom"/>
          </w:tcPr>
          <w:p>
            <w:pPr>
              <w:spacing w:after="0"/>
              <w:rPr>
                <w:sz w:val="1"/>
                <w:szCs w:val="1"/>
                <w:color w:val="auto"/>
              </w:rPr>
            </w:pPr>
          </w:p>
        </w:tc>
      </w:tr>
      <w:tr>
        <w:trPr>
          <w:trHeight w:val="243"/>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sales - materials</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(198,869)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(130,695)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(97,152)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360"/>
              <w:spacing w:after="0"/>
              <w:rPr>
                <w:sz w:val="20"/>
                <w:szCs w:val="20"/>
                <w:color w:val="auto"/>
              </w:rPr>
            </w:pPr>
            <w:r>
              <w:rPr>
                <w:rFonts w:ascii="Arial" w:cs="Arial" w:eastAsia="Arial" w:hAnsi="Arial"/>
                <w:sz w:val="18"/>
                <w:szCs w:val="18"/>
                <w:color w:val="auto"/>
              </w:rPr>
              <w:t>Cost of sales - operational overhead</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(37,140)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(5,961)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(47,147)</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(15,969)</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(6,919)</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40" w:type="dxa"/>
            <w:vAlign w:val="bottom"/>
          </w:tcPr>
          <w:p>
            <w:pPr>
              <w:ind w:left="36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50,098</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18,203</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80,578</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(5,416)</w:t>
            </w:r>
          </w:p>
        </w:tc>
        <w:tc>
          <w:tcPr>
            <w:tcW w:w="0" w:type="dxa"/>
            <w:vAlign w:val="bottom"/>
          </w:tcPr>
          <w:p>
            <w:pPr>
              <w:spacing w:after="0"/>
              <w:rPr>
                <w:sz w:val="1"/>
                <w:szCs w:val="1"/>
                <w:color w:val="auto"/>
              </w:rPr>
            </w:pPr>
          </w:p>
        </w:tc>
      </w:tr>
      <w:tr>
        <w:trPr>
          <w:trHeight w:val="243"/>
        </w:trPr>
        <w:tc>
          <w:tcPr>
            <w:tcW w:w="4940" w:type="dxa"/>
            <w:vAlign w:val="bottom"/>
          </w:tcPr>
          <w:p>
            <w:pPr>
              <w:ind w:left="360"/>
              <w:spacing w:after="0"/>
              <w:rPr>
                <w:sz w:val="20"/>
                <w:szCs w:val="20"/>
                <w:color w:val="auto"/>
              </w:rPr>
            </w:pPr>
            <w:r>
              <w:rPr>
                <w:rFonts w:ascii="Arial" w:cs="Arial" w:eastAsia="Arial" w:hAnsi="Arial"/>
                <w:sz w:val="18"/>
                <w:szCs w:val="18"/>
                <w:color w:val="auto"/>
              </w:rPr>
              <w:t>Other income</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243"/>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(20,816)</w:t>
            </w:r>
          </w:p>
        </w:tc>
        <w:tc>
          <w:tcPr>
            <w:tcW w:w="0" w:type="dxa"/>
            <w:vAlign w:val="bottom"/>
          </w:tcPr>
          <w:p>
            <w:pPr>
              <w:spacing w:after="0"/>
              <w:rPr>
                <w:sz w:val="1"/>
                <w:szCs w:val="1"/>
                <w:color w:val="auto"/>
              </w:rPr>
            </w:pPr>
          </w:p>
        </w:tc>
      </w:tr>
      <w:tr>
        <w:trPr>
          <w:trHeight w:val="237"/>
        </w:trPr>
        <w:tc>
          <w:tcPr>
            <w:tcW w:w="494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56,035</w:t>
            </w:r>
          </w:p>
        </w:tc>
        <w:tc>
          <w:tcPr>
            <w:tcW w:w="0" w:type="dxa"/>
            <w:vAlign w:val="bottom"/>
          </w:tcPr>
          <w:p>
            <w:pPr>
              <w:spacing w:after="0"/>
              <w:rPr>
                <w:sz w:val="1"/>
                <w:szCs w:val="1"/>
                <w:color w:val="auto"/>
              </w:rPr>
            </w:pPr>
          </w:p>
        </w:tc>
      </w:tr>
      <w:tr>
        <w:trPr>
          <w:trHeight w:val="243"/>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expenditures</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22,355</w:t>
            </w:r>
          </w:p>
        </w:tc>
        <w:tc>
          <w:tcPr>
            <w:tcW w:w="0" w:type="dxa"/>
            <w:vAlign w:val="bottom"/>
          </w:tcPr>
          <w:p>
            <w:pPr>
              <w:spacing w:after="0"/>
              <w:rPr>
                <w:sz w:val="1"/>
                <w:szCs w:val="1"/>
                <w:color w:val="auto"/>
              </w:rPr>
            </w:pPr>
          </w:p>
        </w:tc>
      </w:tr>
      <w:tr>
        <w:trPr>
          <w:trHeight w:val="243"/>
        </w:trPr>
        <w:tc>
          <w:tcPr>
            <w:tcW w:w="49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16,880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4,861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28,240</w:t>
            </w:r>
          </w:p>
        </w:tc>
        <w:tc>
          <w:tcPr>
            <w:tcW w:w="0" w:type="dxa"/>
            <w:vAlign w:val="bottom"/>
          </w:tcPr>
          <w:p>
            <w:pPr>
              <w:spacing w:after="0"/>
              <w:rPr>
                <w:sz w:val="1"/>
                <w:szCs w:val="1"/>
                <w:color w:val="auto"/>
              </w:rPr>
            </w:pPr>
          </w:p>
        </w:tc>
      </w:tr>
      <w:tr>
        <w:trPr>
          <w:trHeight w:val="243"/>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Six months ended September 28, 2025:</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360"/>
              <w:spacing w:after="0"/>
              <w:rPr>
                <w:sz w:val="20"/>
                <w:szCs w:val="20"/>
                <w:color w:val="auto"/>
              </w:rPr>
            </w:pPr>
            <w:r>
              <w:rPr>
                <w:rFonts w:ascii="Arial" w:cs="Arial" w:eastAsia="Arial" w:hAnsi="Arial"/>
                <w:sz w:val="18"/>
                <w:szCs w:val="18"/>
                <w:color w:val="auto"/>
              </w:rPr>
              <w:t>Sales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300,474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162,091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111,141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573,706</w:t>
            </w:r>
          </w:p>
        </w:tc>
        <w:tc>
          <w:tcPr>
            <w:tcW w:w="0" w:type="dxa"/>
            <w:vAlign w:val="bottom"/>
          </w:tcPr>
          <w:p>
            <w:pPr>
              <w:spacing w:after="0"/>
              <w:rPr>
                <w:sz w:val="1"/>
                <w:szCs w:val="1"/>
                <w:color w:val="auto"/>
              </w:rPr>
            </w:pPr>
          </w:p>
        </w:tc>
      </w:tr>
      <w:tr>
        <w:trPr>
          <w:trHeight w:val="243"/>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sales - materials</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(177,973)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(118,967)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(87,979)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360"/>
              <w:spacing w:after="0"/>
              <w:rPr>
                <w:sz w:val="20"/>
                <w:szCs w:val="20"/>
                <w:color w:val="auto"/>
              </w:rPr>
            </w:pPr>
            <w:r>
              <w:rPr>
                <w:rFonts w:ascii="Arial" w:cs="Arial" w:eastAsia="Arial" w:hAnsi="Arial"/>
                <w:sz w:val="18"/>
                <w:szCs w:val="18"/>
                <w:color w:val="auto"/>
              </w:rPr>
              <w:t>Cost of sales - operational overhead</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(35,493)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(41,156)</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(16,465)</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(7,111)</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40" w:type="dxa"/>
            <w:vAlign w:val="bottom"/>
          </w:tcPr>
          <w:p>
            <w:pPr>
              <w:ind w:left="36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45,852</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18,364</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75,273</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(7,101)</w:t>
            </w:r>
          </w:p>
        </w:tc>
        <w:tc>
          <w:tcPr>
            <w:tcW w:w="0" w:type="dxa"/>
            <w:vAlign w:val="bottom"/>
          </w:tcPr>
          <w:p>
            <w:pPr>
              <w:spacing w:after="0"/>
              <w:rPr>
                <w:sz w:val="1"/>
                <w:szCs w:val="1"/>
                <w:color w:val="auto"/>
              </w:rPr>
            </w:pPr>
          </w:p>
        </w:tc>
      </w:tr>
      <w:tr>
        <w:trPr>
          <w:trHeight w:val="243"/>
        </w:trPr>
        <w:tc>
          <w:tcPr>
            <w:tcW w:w="4940" w:type="dxa"/>
            <w:vAlign w:val="bottom"/>
          </w:tcPr>
          <w:p>
            <w:pPr>
              <w:ind w:left="360"/>
              <w:spacing w:after="0"/>
              <w:rPr>
                <w:sz w:val="20"/>
                <w:szCs w:val="20"/>
                <w:color w:val="auto"/>
              </w:rPr>
            </w:pPr>
            <w:r>
              <w:rPr>
                <w:rFonts w:ascii="Arial" w:cs="Arial" w:eastAsia="Arial" w:hAnsi="Arial"/>
                <w:sz w:val="18"/>
                <w:szCs w:val="18"/>
                <w:color w:val="auto"/>
              </w:rPr>
              <w:t>Other income</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1,663</w:t>
            </w:r>
          </w:p>
        </w:tc>
        <w:tc>
          <w:tcPr>
            <w:tcW w:w="0" w:type="dxa"/>
            <w:vAlign w:val="bottom"/>
          </w:tcPr>
          <w:p>
            <w:pPr>
              <w:spacing w:after="0"/>
              <w:rPr>
                <w:sz w:val="1"/>
                <w:szCs w:val="1"/>
                <w:color w:val="auto"/>
              </w:rPr>
            </w:pPr>
          </w:p>
        </w:tc>
      </w:tr>
      <w:tr>
        <w:trPr>
          <w:trHeight w:val="243"/>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(18,062)</w:t>
            </w:r>
          </w:p>
        </w:tc>
        <w:tc>
          <w:tcPr>
            <w:tcW w:w="0" w:type="dxa"/>
            <w:vAlign w:val="bottom"/>
          </w:tcPr>
          <w:p>
            <w:pPr>
              <w:spacing w:after="0"/>
              <w:rPr>
                <w:sz w:val="1"/>
                <w:szCs w:val="1"/>
                <w:color w:val="auto"/>
              </w:rPr>
            </w:pPr>
          </w:p>
        </w:tc>
      </w:tr>
      <w:tr>
        <w:trPr>
          <w:trHeight w:val="237"/>
        </w:trPr>
        <w:tc>
          <w:tcPr>
            <w:tcW w:w="494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51,773</w:t>
            </w:r>
          </w:p>
        </w:tc>
        <w:tc>
          <w:tcPr>
            <w:tcW w:w="0" w:type="dxa"/>
            <w:vAlign w:val="bottom"/>
          </w:tcPr>
          <w:p>
            <w:pPr>
              <w:spacing w:after="0"/>
              <w:rPr>
                <w:sz w:val="1"/>
                <w:szCs w:val="1"/>
                <w:color w:val="auto"/>
              </w:rPr>
            </w:pPr>
          </w:p>
        </w:tc>
      </w:tr>
      <w:tr>
        <w:trPr>
          <w:trHeight w:val="243"/>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expenditures</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24,342</w:t>
            </w:r>
          </w:p>
        </w:tc>
        <w:tc>
          <w:tcPr>
            <w:tcW w:w="0" w:type="dxa"/>
            <w:vAlign w:val="bottom"/>
          </w:tcPr>
          <w:p>
            <w:pPr>
              <w:spacing w:after="0"/>
              <w:rPr>
                <w:sz w:val="1"/>
                <w:szCs w:val="1"/>
                <w:color w:val="auto"/>
              </w:rPr>
            </w:pPr>
          </w:p>
        </w:tc>
      </w:tr>
      <w:tr>
        <w:trPr>
          <w:trHeight w:val="247"/>
        </w:trPr>
        <w:tc>
          <w:tcPr>
            <w:tcW w:w="49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14,758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25,553</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*Unallocated assets not included, consisting primarily of cash and cash equivalents, prepaid expenses, and non-qualified deferred compensation plan assets of $32.0 million at September 27, 2026 and $32.1 million at September 28, 2025.</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sectPr>
      </w:pPr>
    </w:p>
    <w:bookmarkStart w:id="18" w:name="page19"/>
    <w:bookmarkEnd w:id="18"/>
    <w:p>
      <w:pPr>
        <w:spacing w:after="0"/>
        <w:tabs>
          <w:tab w:leader="none" w:pos="8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117" w:lineRule="exact"/>
        <w:rPr>
          <w:sz w:val="20"/>
          <w:szCs w:val="20"/>
          <w:color w:val="auto"/>
        </w:rPr>
      </w:pPr>
    </w:p>
    <w:p>
      <w:pPr>
        <w:jc w:val="both"/>
        <w:spacing w:after="0" w:line="262" w:lineRule="auto"/>
        <w:rPr>
          <w:rFonts w:ascii="Arial" w:cs="Arial" w:eastAsia="Arial" w:hAnsi="Arial"/>
          <w:sz w:val="18"/>
          <w:szCs w:val="18"/>
          <w:color w:val="auto"/>
        </w:rPr>
      </w:pPr>
      <w:r>
        <w:rPr>
          <w:rFonts w:ascii="Arial" w:cs="Arial" w:eastAsia="Arial" w:hAnsi="Arial"/>
          <w:sz w:val="18"/>
          <w:szCs w:val="18"/>
          <w:color w:val="auto"/>
        </w:rPr>
        <w:t xml:space="preserve">The following is a discussion and analysis of our financial condition and results of operations for the three and six months ended September 27, 2026 as compared to the three and six months ended September 28, 2025. This discussion should be read in conjunction with the condensed consolidated financial statements and notes to condensed consolidated financial statements included in this quarterly report on Form 10-Q and Part II, Item 8 of our </w:t>
      </w:r>
      <w:hyperlink r:id="rId19">
        <w:r>
          <w:rPr>
            <w:rFonts w:ascii="Arial" w:cs="Arial" w:eastAsia="Arial" w:hAnsi="Arial"/>
            <w:sz w:val="18"/>
            <w:szCs w:val="18"/>
            <w:u w:val="single" w:color="auto"/>
            <w:color w:val="0000FF"/>
          </w:rPr>
          <w:t>Annual Report on Form 10-K for the fiscal year ended March 29, 2026</w:t>
        </w:r>
      </w:hyperlink>
      <w:r>
        <w:rPr>
          <w:rFonts w:ascii="Arial" w:cs="Arial" w:eastAsia="Arial" w:hAnsi="Arial"/>
          <w:sz w:val="18"/>
          <w:szCs w:val="18"/>
          <w:color w:val="auto"/>
        </w:rPr>
        <w: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derive substantially all of our revenues from the sale of water treatment, specialty ingredients, and chemistry products, and equipment to our customers in a wide variety of industries. We believe that we create value for our customers through superb service and support, quality products, personalized applications and trustworthy and creative employees.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Acquisitions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completed the following acquisitions in the first half of fiscal 2027 and fiscal 2026. The results of operations since the date of each acquisition and the assets, including goodwill associated with these acquisitions, are included in our Water Treatment segment with the exception of the MakWood lactate business, which is included in our Food &amp; Health Sciences segment. Certain acquisitions discussed below are not included in Note 2 to our Condensed Consolidated Financial Statements as they were not deemed to be material enough to warrant disclosure.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Fiscal 2027</w:t>
      </w:r>
    </w:p>
    <w:p>
      <w:pPr>
        <w:spacing w:after="0" w:line="117" w:lineRule="exact"/>
        <w:rPr>
          <w:sz w:val="20"/>
          <w:szCs w:val="20"/>
          <w:color w:val="auto"/>
        </w:rPr>
      </w:pPr>
    </w:p>
    <w:p>
      <w:pPr>
        <w:jc w:val="both"/>
        <w:ind w:left="660" w:hanging="328"/>
        <w:spacing w:after="0" w:line="268" w:lineRule="auto"/>
        <w:tabs>
          <w:tab w:leader="none" w:pos="628"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September 1, 2026, we acquired substantially all the assets and assumed certain liabilities of Dave Symonds &amp; Associates, Inc. ("Symonds") for approximately $1.6 million. Symonds distributes water treatment products, primarily blended phosphates for corrosion control and sequestration, to water treatment customers in Florida.</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28"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April 30, 2026, we acquired substantially all the assets and assumed certain liabilities of Aqua-Chem, Inc. ("Aqua-Chem") for approximately $3.6 million. Aqua-Chem provides water treatment products to commercial pools, including chemistry, equipment, and service, mainly to Nebraska and Iowa customers.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Fiscal 2026</w:t>
      </w:r>
    </w:p>
    <w:p>
      <w:pPr>
        <w:spacing w:after="0" w:line="117" w:lineRule="exact"/>
        <w:rPr>
          <w:sz w:val="20"/>
          <w:szCs w:val="20"/>
          <w:color w:val="auto"/>
        </w:rPr>
      </w:pPr>
    </w:p>
    <w:p>
      <w:pPr>
        <w:jc w:val="both"/>
        <w:ind w:left="660" w:hanging="328"/>
        <w:spacing w:after="0" w:line="268" w:lineRule="auto"/>
        <w:tabs>
          <w:tab w:leader="none" w:pos="628"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December 3, 2025, we acquired substantially all the assets and assumed certain liabilities of Redbird Chemical, Inc. (“Redbird”) for $4.6 million. Redbird distributed chemicals to its customers in eastern Texas within both the water treatment and industrial markets.</w:t>
      </w:r>
    </w:p>
    <w:p>
      <w:pPr>
        <w:spacing w:after="0" w:line="62" w:lineRule="exact"/>
        <w:rPr>
          <w:rFonts w:ascii="Arial" w:cs="Arial" w:eastAsia="Arial" w:hAnsi="Arial"/>
          <w:sz w:val="18"/>
          <w:szCs w:val="18"/>
          <w:color w:val="auto"/>
        </w:rPr>
      </w:pPr>
    </w:p>
    <w:p>
      <w:pPr>
        <w:ind w:left="660" w:hanging="328"/>
        <w:spacing w:after="0" w:line="287" w:lineRule="auto"/>
        <w:tabs>
          <w:tab w:leader="none" w:pos="628"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August 29, 2025, we acquired substantially all the assets and assumed certain liabilities of StillWaters Technology, Inc. ("StillWaters") for $4.3 million. StillWaters distributed water treatment chemicals and equipment for its customers in Alabama.</w:t>
      </w:r>
    </w:p>
    <w:p>
      <w:pPr>
        <w:spacing w:after="0" w:line="44" w:lineRule="exact"/>
        <w:rPr>
          <w:rFonts w:ascii="Arial" w:cs="Arial" w:eastAsia="Arial" w:hAnsi="Arial"/>
          <w:sz w:val="18"/>
          <w:szCs w:val="18"/>
          <w:color w:val="auto"/>
        </w:rPr>
      </w:pPr>
    </w:p>
    <w:p>
      <w:pPr>
        <w:jc w:val="both"/>
        <w:ind w:left="660" w:hanging="328"/>
        <w:spacing w:after="0" w:line="262" w:lineRule="auto"/>
        <w:tabs>
          <w:tab w:leader="none" w:pos="628"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July 2, 2025, we acquired the lactate business of MakWood, Inc. for $1.9 million. We had previously been party to a Distribution Agreement with MakWood for certain lactate products under the Mak Lak trade name. This acquisition agreement terminated the Distribution Agreement, and resulted in our acquisition of the lactate distribution business, including the customer list and associated brand name.</w:t>
      </w:r>
    </w:p>
    <w:p>
      <w:pPr>
        <w:spacing w:after="0" w:line="68" w:lineRule="exact"/>
        <w:rPr>
          <w:rFonts w:ascii="Arial" w:cs="Arial" w:eastAsia="Arial" w:hAnsi="Arial"/>
          <w:sz w:val="18"/>
          <w:szCs w:val="18"/>
          <w:color w:val="auto"/>
        </w:rPr>
      </w:pPr>
    </w:p>
    <w:p>
      <w:pPr>
        <w:jc w:val="both"/>
        <w:ind w:left="660" w:hanging="328"/>
        <w:spacing w:after="0" w:line="268" w:lineRule="auto"/>
        <w:tabs>
          <w:tab w:leader="none" w:pos="628"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July 1, 2025, we acquired substantially all the assets and assumed certain liabilities of PhillTech, LLC ("PhillTech") for $5.0 million. Located in Courtland, AL, PhillTech manufactured and distributed coagulants and corrosion control products for its water treatment customers.</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28"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June 13, 2025, we acquired substantially all the assets and assumed certain liabilities of Hendrickson Enterprises, LLC and Polymer Technologies, LLC (collectively, "Hendrickson") for approximately $1.5 million. Hendrickson distributed water treatment chemicals and equipment to its customers via direct shipments from suppliers.</w:t>
      </w:r>
    </w:p>
    <w:p>
      <w:pPr>
        <w:spacing w:after="0" w:line="62" w:lineRule="exact"/>
        <w:rPr>
          <w:rFonts w:ascii="Arial" w:cs="Arial" w:eastAsia="Arial" w:hAnsi="Arial"/>
          <w:sz w:val="18"/>
          <w:szCs w:val="18"/>
          <w:color w:val="auto"/>
        </w:rPr>
      </w:pPr>
    </w:p>
    <w:p>
      <w:pPr>
        <w:jc w:val="both"/>
        <w:ind w:left="660" w:hanging="328"/>
        <w:spacing w:after="0" w:line="262" w:lineRule="auto"/>
        <w:tabs>
          <w:tab w:leader="none" w:pos="628"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April 25, 2025, we acquired substantially all of the assets and assumed certain liabilities of WaterSurplus and related entities for approximately $149.9 million paid at closing, with an additional amount payable as an earnout of up to $53.7 million based on cumulative gross profit for the first five years. WaterSurplus is located in Rockford, IL and delivers sustainable water treatment solutions to customers throughout the United States.</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aggregate annual revenue of the eight businesses acquired during fiscal 2026 and the first half of fiscal 2027 totaled approximately $53.6 million, as determined using the applicable twelve-month period preceding each respective acquisition date.</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Subsequent to the end of the second quarter of fiscal 2027, on September 29, 2026, we acquired substantially all of the assets of Eagle Labs, Inc. (“Eagle Labs”) for approximately $14.0 million. Eagle Labs distributes water treatment products directly to customers in Texas from its operations in the Dallas–Fort Worth region and has in-house manufacturing capabilities.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focus on total operating income when evaluating our financial results as opposed to profitability as a percentage of sales, as sales dollars tend to fluctuate as raw material prices rise and fall, particularly in our Water Treatment and Industrial Solutions segments. The costs for certain of our raw materials can rise or fall rapidly, causing fluctuations in gross profit as a percentage of sales.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use the last in, first out (“LIFO”) method of valuing the majority of our inventory, which causes the most recent product costs to be recognized in our income statement. The LIFO inventory valuation method and the resulting cost of sales are consistent with our business practices of pricing to current chemical raw material prices.</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disclose the sales of our bulk commodity products as a percentage of total sales dollars for our Water Treatment and Industrial Solutions segments. Our definition of bulk commodity products includes products that we do not modify in any way, but receive, store, and ship from our facilities, or direct ship to our customers in large quantities. We disclose the percentage of our overall sales that consist of sales of bulk commodity products as these products are generally distributed and we do not add significant value to these products in comparison to our non-bulk products. Sales of these products are generally highly competitive and price sensitive. As a result, bulk commodity products generally have our lowest margins.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percentage relationship of certain items to sales for the period indicated:</w:t>
      </w:r>
    </w:p>
    <w:p>
      <w:pPr>
        <w:sectPr>
          <w:pgSz w:w="11900" w:h="16838" w:orient="portrait"/>
          <w:cols w:equalWidth="0" w:num="1">
            <w:col w:w="11240"/>
          </w:cols>
          <w:pgMar w:left="320" w:top="607" w:right="339" w:bottom="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5"/>
        </w:trPr>
        <w:tc>
          <w:tcPr>
            <w:tcW w:w="4340" w:type="dxa"/>
            <w:vAlign w:val="bottom"/>
            <w:tcBorders>
              <w:bottom w:val="single" w:sz="8" w:color="CCEEFF"/>
            </w:tcBorders>
          </w:tcPr>
          <w:p>
            <w:pPr>
              <w:spacing w:after="0"/>
              <w:rPr>
                <w:sz w:val="20"/>
                <w:szCs w:val="20"/>
                <w:color w:val="auto"/>
              </w:rPr>
            </w:pPr>
          </w:p>
        </w:tc>
        <w:tc>
          <w:tcPr>
            <w:tcW w:w="332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Borders>
              <w:bottom w:val="single" w:sz="8" w:color="CCEEFF"/>
            </w:tcBorders>
          </w:tcPr>
          <w:p>
            <w:pPr>
              <w:spacing w:after="0"/>
              <w:rPr>
                <w:sz w:val="20"/>
                <w:szCs w:val="20"/>
                <w:color w:val="auto"/>
              </w:rPr>
            </w:pPr>
          </w:p>
        </w:tc>
        <w:tc>
          <w:tcPr>
            <w:tcW w:w="3340" w:type="dxa"/>
            <w:vAlign w:val="bottom"/>
            <w:tcBorders>
              <w:bottom w:val="single" w:sz="8" w:color="auto"/>
            </w:tcBorders>
            <w:gridSpan w:val="3"/>
          </w:tcPr>
          <w:p>
            <w:pPr>
              <w:jc w:val="right"/>
              <w:ind w:right="810"/>
              <w:spacing w:after="0"/>
              <w:rPr>
                <w:sz w:val="20"/>
                <w:szCs w:val="20"/>
                <w:color w:val="auto"/>
              </w:rPr>
            </w:pPr>
            <w:r>
              <w:rPr>
                <w:rFonts w:ascii="Arial" w:cs="Arial" w:eastAsia="Arial" w:hAnsi="Arial"/>
                <w:sz w:val="18"/>
                <w:szCs w:val="18"/>
                <w:b w:val="1"/>
                <w:bCs w:val="1"/>
                <w:color w:val="auto"/>
              </w:rPr>
              <w:t>Six months ended</w:t>
            </w:r>
          </w:p>
        </w:tc>
      </w:tr>
      <w:tr>
        <w:trPr>
          <w:trHeight w:val="183"/>
        </w:trPr>
        <w:tc>
          <w:tcPr>
            <w:tcW w:w="434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ind w:left="180"/>
              <w:spacing w:after="0" w:line="182" w:lineRule="exact"/>
              <w:rPr>
                <w:sz w:val="20"/>
                <w:szCs w:val="20"/>
                <w:color w:val="auto"/>
              </w:rPr>
            </w:pPr>
            <w:r>
              <w:rPr>
                <w:rFonts w:ascii="Arial" w:cs="Arial" w:eastAsia="Arial" w:hAnsi="Arial"/>
                <w:sz w:val="18"/>
                <w:szCs w:val="18"/>
                <w:b w:val="1"/>
                <w:bCs w:val="1"/>
                <w:color w:val="auto"/>
              </w:rPr>
              <w:t>September 27,</w:t>
            </w:r>
          </w:p>
        </w:tc>
        <w:tc>
          <w:tcPr>
            <w:tcW w:w="1720" w:type="dxa"/>
            <w:vAlign w:val="bottom"/>
            <w:gridSpan w:val="2"/>
            <w:shd w:val="clear" w:color="auto" w:fill="CCEEFF"/>
          </w:tcPr>
          <w:p>
            <w:pPr>
              <w:ind w:left="180"/>
              <w:spacing w:after="0" w:line="182" w:lineRule="exact"/>
              <w:rPr>
                <w:sz w:val="20"/>
                <w:szCs w:val="20"/>
                <w:color w:val="auto"/>
              </w:rPr>
            </w:pPr>
            <w:r>
              <w:rPr>
                <w:rFonts w:ascii="Arial" w:cs="Arial" w:eastAsia="Arial" w:hAnsi="Arial"/>
                <w:sz w:val="18"/>
                <w:szCs w:val="18"/>
                <w:b w:val="1"/>
                <w:bCs w:val="1"/>
                <w:color w:val="auto"/>
              </w:rPr>
              <w:t>September 28,</w:t>
            </w:r>
          </w:p>
        </w:tc>
        <w:tc>
          <w:tcPr>
            <w:tcW w:w="1720" w:type="dxa"/>
            <w:vAlign w:val="bottom"/>
            <w:gridSpan w:val="2"/>
            <w:shd w:val="clear" w:color="auto" w:fill="CCEEFF"/>
          </w:tcPr>
          <w:p>
            <w:pPr>
              <w:ind w:left="180"/>
              <w:spacing w:after="0" w:line="182" w:lineRule="exact"/>
              <w:rPr>
                <w:sz w:val="20"/>
                <w:szCs w:val="20"/>
                <w:color w:val="auto"/>
              </w:rPr>
            </w:pPr>
            <w:r>
              <w:rPr>
                <w:rFonts w:ascii="Arial" w:cs="Arial" w:eastAsia="Arial" w:hAnsi="Arial"/>
                <w:sz w:val="18"/>
                <w:szCs w:val="18"/>
                <w:b w:val="1"/>
                <w:bCs w:val="1"/>
                <w:color w:val="auto"/>
              </w:rPr>
              <w:t>September 27,</w:t>
            </w:r>
          </w:p>
        </w:tc>
        <w:tc>
          <w:tcPr>
            <w:tcW w:w="1620" w:type="dxa"/>
            <w:vAlign w:val="bottom"/>
            <w:shd w:val="clear" w:color="auto" w:fill="CCEEFF"/>
          </w:tcPr>
          <w:p>
            <w:pPr>
              <w:jc w:val="right"/>
              <w:ind w:right="110"/>
              <w:spacing w:after="0" w:line="182" w:lineRule="exact"/>
              <w:rPr>
                <w:sz w:val="20"/>
                <w:szCs w:val="20"/>
                <w:color w:val="auto"/>
              </w:rPr>
            </w:pPr>
            <w:r>
              <w:rPr>
                <w:rFonts w:ascii="Arial" w:cs="Arial" w:eastAsia="Arial" w:hAnsi="Arial"/>
                <w:sz w:val="18"/>
                <w:szCs w:val="18"/>
                <w:b w:val="1"/>
                <w:bCs w:val="1"/>
                <w:color w:val="auto"/>
              </w:rPr>
              <w:t>September 28,</w:t>
            </w:r>
          </w:p>
        </w:tc>
      </w:tr>
      <w:tr>
        <w:trPr>
          <w:trHeight w:val="243"/>
        </w:trPr>
        <w:tc>
          <w:tcPr>
            <w:tcW w:w="4340" w:type="dxa"/>
            <w:vAlign w:val="bottom"/>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2026</w:t>
            </w:r>
          </w:p>
        </w:tc>
        <w:tc>
          <w:tcPr>
            <w:tcW w:w="120" w:type="dxa"/>
            <w:vAlign w:val="bottom"/>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2025</w:t>
            </w:r>
          </w:p>
        </w:tc>
        <w:tc>
          <w:tcPr>
            <w:tcW w:w="120" w:type="dxa"/>
            <w:vAlign w:val="bottom"/>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2026</w:t>
            </w:r>
          </w:p>
        </w:tc>
        <w:tc>
          <w:tcPr>
            <w:tcW w:w="100" w:type="dxa"/>
            <w:vAlign w:val="bottom"/>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2025</w:t>
            </w:r>
          </w:p>
        </w:tc>
      </w:tr>
      <w:tr>
        <w:trPr>
          <w:trHeight w:val="237"/>
        </w:trPr>
        <w:tc>
          <w:tcPr>
            <w:tcW w:w="4340" w:type="dxa"/>
            <w:vAlign w:val="bottom"/>
          </w:tcPr>
          <w:p>
            <w:pPr>
              <w:ind w:left="20"/>
              <w:spacing w:after="0"/>
              <w:rPr>
                <w:sz w:val="20"/>
                <w:szCs w:val="20"/>
                <w:color w:val="auto"/>
              </w:rPr>
            </w:pPr>
            <w:r>
              <w:rPr>
                <w:rFonts w:ascii="Arial" w:cs="Arial" w:eastAsia="Arial" w:hAnsi="Arial"/>
                <w:sz w:val="18"/>
                <w:szCs w:val="18"/>
                <w:color w:val="auto"/>
              </w:rPr>
              <w:t>Sales</w:t>
            </w:r>
          </w:p>
        </w:tc>
        <w:tc>
          <w:tcPr>
            <w:tcW w:w="1600" w:type="dxa"/>
            <w:vAlign w:val="bottom"/>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20" w:type="dxa"/>
            <w:vAlign w:val="bottom"/>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20" w:type="dxa"/>
            <w:vAlign w:val="bottom"/>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00" w:type="dxa"/>
            <w:vAlign w:val="bottom"/>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w:t>
            </w:r>
          </w:p>
        </w:tc>
      </w:tr>
      <w:tr>
        <w:trPr>
          <w:trHeight w:val="236"/>
        </w:trPr>
        <w:tc>
          <w:tcPr>
            <w:tcW w:w="43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600" w:type="dxa"/>
            <w:vAlign w:val="bottom"/>
          </w:tcPr>
          <w:p>
            <w:pPr>
              <w:jc w:val="right"/>
              <w:spacing w:after="0"/>
              <w:rPr>
                <w:sz w:val="20"/>
                <w:szCs w:val="20"/>
                <w:color w:val="auto"/>
              </w:rPr>
            </w:pPr>
            <w:r>
              <w:rPr>
                <w:rFonts w:ascii="Arial" w:cs="Arial" w:eastAsia="Arial" w:hAnsi="Arial"/>
                <w:sz w:val="18"/>
                <w:szCs w:val="18"/>
                <w:color w:val="auto"/>
              </w:rPr>
              <w:t>24.4 %</w:t>
            </w: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24.1 %</w:t>
            </w: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23.9 %</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24.4 %</w:t>
            </w:r>
          </w:p>
        </w:tc>
      </w:tr>
      <w:tr>
        <w:trPr>
          <w:trHeight w:val="243"/>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37"/>
        </w:trPr>
        <w:tc>
          <w:tcPr>
            <w:tcW w:w="43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600" w:type="dxa"/>
            <w:vAlign w:val="bottom"/>
          </w:tcPr>
          <w:p>
            <w:pPr>
              <w:jc w:val="right"/>
              <w:spacing w:after="0"/>
              <w:rPr>
                <w:sz w:val="20"/>
                <w:szCs w:val="20"/>
                <w:color w:val="auto"/>
              </w:rPr>
            </w:pPr>
            <w:r>
              <w:rPr>
                <w:rFonts w:ascii="Arial" w:cs="Arial" w:eastAsia="Arial" w:hAnsi="Arial"/>
                <w:sz w:val="18"/>
                <w:szCs w:val="18"/>
                <w:color w:val="auto"/>
              </w:rPr>
              <w:t>13.3 %</w:t>
            </w: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12.1 %</w:t>
            </w: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12.8 %</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13.1 %</w:t>
            </w:r>
          </w:p>
        </w:tc>
      </w:tr>
      <w:tr>
        <w:trPr>
          <w:trHeight w:val="243"/>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0.3 %</w:t>
            </w:r>
          </w:p>
        </w:tc>
        <w:tc>
          <w:tcPr>
            <w:tcW w:w="120" w:type="dxa"/>
            <w:vAlign w:val="bottom"/>
            <w:tcBorders>
              <w:bottom w:val="single" w:sz="8" w:color="CCEEFF"/>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Borders>
              <w:bottom w:val="single" w:sz="8" w:color="CCEEFF"/>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0.3 %</w:t>
            </w:r>
          </w:p>
        </w:tc>
      </w:tr>
      <w:tr>
        <w:trPr>
          <w:trHeight w:val="237"/>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12.6 %</w:t>
            </w: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11.0 %</w:t>
            </w: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12.2 %</w:t>
            </w:r>
          </w:p>
        </w:tc>
        <w:tc>
          <w:tcPr>
            <w:tcW w:w="10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12.2 %</w:t>
            </w:r>
          </w:p>
        </w:tc>
      </w:tr>
      <w:tr>
        <w:trPr>
          <w:trHeight w:val="243"/>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62"/>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8.9 %</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1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8.9 %</w:t>
            </w:r>
          </w:p>
        </w:tc>
        <w:tc>
          <w:tcPr>
            <w:tcW w:w="1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9.1 %</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right="3000"/>
        <w:spacing w:after="0" w:line="374" w:lineRule="auto"/>
        <w:rPr>
          <w:sz w:val="20"/>
          <w:szCs w:val="20"/>
          <w:color w:val="auto"/>
        </w:rPr>
      </w:pPr>
      <w:r>
        <w:rPr>
          <w:rFonts w:ascii="Arial" w:cs="Arial" w:eastAsia="Arial" w:hAnsi="Arial"/>
          <w:sz w:val="18"/>
          <w:szCs w:val="18"/>
          <w:b w:val="1"/>
          <w:bCs w:val="1"/>
          <w:i w:val="1"/>
          <w:iCs w:val="1"/>
          <w:color w:val="auto"/>
        </w:rPr>
        <w:t xml:space="preserve">Three Months Ended September 27, 2026 Compared to Three Months Ended September 28, 2025 </w:t>
      </w:r>
      <w:r>
        <w:rPr>
          <w:rFonts w:ascii="Arial" w:cs="Arial" w:eastAsia="Arial" w:hAnsi="Arial"/>
          <w:sz w:val="18"/>
          <w:szCs w:val="18"/>
          <w:i w:val="1"/>
          <w:iCs w:val="1"/>
          <w:color w:val="auto"/>
        </w:rPr>
        <w:t>Sales</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Sales were $313.8 million for the three months ended September 27, 2026, an increase of $33.4 million, or 12%, from sales of $280.4 million in the same period a year ago. All of our segments grew by 5% or more as compared to the prior year. Sales increased as a result of 11% organic sales growth and approximately $3.7 million of sales from acquired businesses.</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Water Treatment segment sales increased $24.1 million, or 16%, to $175.0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27, 2026, from sales of $ 150.9 million in the same period a year ago. Sales of bulk commodity products in the Water Treatment segment were approximately 11% of sales dollars in the current quarter and 8% in the same period a year ago. Organic sales grew 14%, driven primarily by increased volumes, along with improved pricing on certain of our products. Acquired businesses contributed approximately $3.7 million in additional sales.</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Food &amp; Health Sciences Segment. </w:t>
      </w:r>
      <w:r>
        <w:rPr>
          <w:rFonts w:ascii="Arial" w:cs="Arial" w:eastAsia="Arial" w:hAnsi="Arial"/>
          <w:sz w:val="18"/>
          <w:szCs w:val="18"/>
          <w:color w:val="auto"/>
        </w:rPr>
        <w:t>Food &amp; Health Sciences segment sales increased $3.8 million, or 5%, to $ 76.7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27, 2026, from sales of $72.9 million in the same period a year ago. Sales dollars increased as a result of increased volumes of our nutrition, food ingredients, and pharmaceutical products, partially offset by decreased sales of our agricultural products.</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Industrial Solutions Segment. </w:t>
      </w:r>
      <w:r>
        <w:rPr>
          <w:rFonts w:ascii="Arial" w:cs="Arial" w:eastAsia="Arial" w:hAnsi="Arial"/>
          <w:sz w:val="18"/>
          <w:szCs w:val="18"/>
          <w:color w:val="auto"/>
        </w:rPr>
        <w:t>Industrial Solutions segment sales increased $5.6 million, or 10%, to $62.2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27, 2026, from sales of $ 56.6 million in the same period a year ago. Sales of bulk commodity products in the Industrial Solutions segment were approximately 22% of sales dollars in the current quarter and 21% in the same period a year ago. Sales increased as a result of increased pricing and favorable product mix, which more than offset lower sales volumes.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Gross profit increased $ 9.0 million, or 13%, to $76.6 million, or 24% of sales, for the three months ended September 27, 2026, from $67.6 million, or 24% of sales, in the same period a year ago. During the current quarter, the LIFO reserve increased, and gross profit decreased, by $1.9 million primarily due to higher raw material costs. In the same period a year ago, the LIFO</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reserve increased, and gross profit decreased, by $0.3 million. The $1.6 million year-over-year impact of the unfavorable LIFO reserve was partially offset by $ 1.3 million of refunds of previously paid tariffs, which were recorded as a reduction of cost of sales. The refunded tariffs related to products for which customer pricing had not been increased in response to tariffs.</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Gross profit for the Water Treatment segment increased $8.4 million, or 20%, to $ 51.7 million, or 30% of sales,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September 27, 2026, from $43.3 million, or 29% of sales, in the same period a year ago. During the current quarter, the LIFO reserve increased, and gross profit decreased, by $ 0.5 million. In the same period a year ago, the LIFO reserve decreased, and gross profit increased minimally. The $0.5 million year-over-year impact of the unfavorable LIFO reserve increase was more than offset by $1.2 million of refunds of previously paid tariffs, which were recorded as a reduction of cost of sales. The increase in gross profit was primarily driven by higher sales.</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Food &amp; Health Sciences Segment. </w:t>
      </w:r>
      <w:r>
        <w:rPr>
          <w:rFonts w:ascii="Arial" w:cs="Arial" w:eastAsia="Arial" w:hAnsi="Arial"/>
          <w:sz w:val="18"/>
          <w:szCs w:val="18"/>
          <w:color w:val="auto"/>
        </w:rPr>
        <w:t>Gross profit for the Food &amp; Health Sciences segment decreased $0.6 million, or 4%, to $14.9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19% of sales for the three months ended September 27, 2026, from $15.5 million, or 21% of sales, in the same period a year ago. During the current quarter, the LIFO reserve increased, and gross profit decreased, by $0.7 million. In the same period a year ago, the LIFO reserve increased, and gross profit decreased, by $0.2 million. Gross profit decreased as lower margins in our food and pharmaceutical products and the $0.5 million year-over-year impact of the unfavorable LIFO reserve more than offset the benefit of higher sales and improved margins in our nutrition and agriculture products.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Industrial Solutions Segment. </w:t>
      </w:r>
      <w:r>
        <w:rPr>
          <w:rFonts w:ascii="Arial" w:cs="Arial" w:eastAsia="Arial" w:hAnsi="Arial"/>
          <w:sz w:val="18"/>
          <w:szCs w:val="18"/>
          <w:color w:val="auto"/>
        </w:rPr>
        <w:t>Gross profit for the Industrial Solutions segment increased $1.1 million, or 12%, to $ 10.0 million, or 16% of</w:t>
      </w:r>
      <w:r>
        <w:rPr>
          <w:rFonts w:ascii="Arial" w:cs="Arial" w:eastAsia="Arial" w:hAnsi="Arial"/>
          <w:sz w:val="18"/>
          <w:szCs w:val="18"/>
          <w:i w:val="1"/>
          <w:iCs w:val="1"/>
          <w:color w:val="auto"/>
        </w:rPr>
        <w:t xml:space="preserve"> </w:t>
      </w:r>
      <w:r>
        <w:rPr>
          <w:rFonts w:ascii="Arial" w:cs="Arial" w:eastAsia="Arial" w:hAnsi="Arial"/>
          <w:sz w:val="18"/>
          <w:szCs w:val="18"/>
          <w:color w:val="auto"/>
        </w:rPr>
        <w:t>sales for the three months ended September 27, 2026, from $8.9 million, or 16% of sales, in the same period a year ago. During the current quarter, the LIFO reserve increased, and gross profit decreased, by $0.7 million. In the same period a year ago, the LIFO reserve increased, and gross profit decreased, by $0.1 million. The benefit of higher sales and favorable product mix was partially offset by the $0.6 million year-over-year impact of the unfavorable LIFO reserve increase.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Selling, general and administrative (“SG&amp;A”) expenses increased $1.0 million, or 3%, to $ 34.7 million, or 11% of sales, for the three months ended September 27, 2026, from $33.7 million, or 12% of sales, in the same period a year ago. This included $0.4 million due to added costs from the acquired businesses in our Water Treatment segment. SG&amp;A expenses also increased due to increases in other variable costs, including variable pay and other personnel costs. These increases were partially offset by a $0.5 million decrease in non-qualified deferred compensation plan expense, as appreciation in the market value of plan investments was lower than in the same period a year ago. Deferred compensation plan expense is offset by a corresponding gain on plan investments recorded in other income (expense).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Operating income increased $ 8.0 million, or 23%, to $41.9 million, or 13% of sales, for the three months ended September 27, 2026, from $33.9 million, or 12% of sales, in the same period a year ago due to the combined impact of the factors discussed above.</w:t>
      </w:r>
    </w:p>
    <w:p>
      <w:pPr>
        <w:sectPr>
          <w:pgSz w:w="11900" w:h="16838" w:orient="portrait"/>
          <w:cols w:equalWidth="0" w:num="1">
            <w:col w:w="11240"/>
          </w:cols>
          <w:pgMar w:left="320" w:top="175" w:right="339" w:bottom="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Interest Expense, Net</w:t>
      </w:r>
    </w:p>
    <w:p>
      <w:pPr>
        <w:spacing w:after="0" w:line="11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Interest expense decreased $1.2 million to $2.6 million for the three months ended September 27, 2026 compared to $3.8 million in the same period a year ago. Interest expense decreased as a result of $50.0 million in net debt repayments since the second quarter of fiscal 2026.</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Other income was $0.3 million for the three months ended September 27, 2026 compared to $0.7 million in the same period a year ago. The income represents gains recorded on investments held for our non-qualified deferred compensation plan. The amounts recorded as a gain were offset by similar amounts recorded as an increase to compensation expense within SG&amp;A expenses.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effective income tax rate was approximately 30% for the three months ended September 27, 2026 and 27% for the same period a year ago. The effective income tax rate for each period exceeded the U.S. federal statutory rate of 21%, primarily due to state income taxes on non-deductible expenses, including executive compensation and other permanent items. The increase in the effective income tax rate compared with prior-periods was primarily due to higher state income taxes and an increase in non-deductible items. The effective tax rate is impacted by projected levels of annual taxable income, permanent items, state taxes and discrete items, including tax effects of stock-based compensation. Our effective tax rate for the full year is expected to be approximately 25% to 27%.</w:t>
      </w:r>
    </w:p>
    <w:p>
      <w:pPr>
        <w:spacing w:after="0" w:line="76" w:lineRule="exact"/>
        <w:rPr>
          <w:sz w:val="20"/>
          <w:szCs w:val="20"/>
          <w:color w:val="auto"/>
        </w:rPr>
      </w:pPr>
    </w:p>
    <w:p>
      <w:pPr>
        <w:ind w:right="3440"/>
        <w:spacing w:after="0" w:line="374" w:lineRule="auto"/>
        <w:rPr>
          <w:sz w:val="20"/>
          <w:szCs w:val="20"/>
          <w:color w:val="auto"/>
        </w:rPr>
      </w:pPr>
      <w:r>
        <w:rPr>
          <w:rFonts w:ascii="Arial" w:cs="Arial" w:eastAsia="Arial" w:hAnsi="Arial"/>
          <w:sz w:val="18"/>
          <w:szCs w:val="18"/>
          <w:b w:val="1"/>
          <w:bCs w:val="1"/>
          <w:i w:val="1"/>
          <w:iCs w:val="1"/>
          <w:color w:val="auto"/>
        </w:rPr>
        <w:t xml:space="preserve">Six Months Ended September 27, 2026 Compared to Six Months Ended September 28, 2025 </w:t>
      </w:r>
      <w:r>
        <w:rPr>
          <w:rFonts w:ascii="Arial" w:cs="Arial" w:eastAsia="Arial" w:hAnsi="Arial"/>
          <w:sz w:val="18"/>
          <w:szCs w:val="18"/>
          <w:i w:val="1"/>
          <w:iCs w:val="1"/>
          <w:color w:val="auto"/>
        </w:rPr>
        <w:t>Sales</w:t>
      </w:r>
    </w:p>
    <w:p>
      <w:pPr>
        <w:spacing w:after="0" w:line="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Sales were $629.5 million for the six months ended September 27, 2026, an increase of $55.8 million, or 10%, from sales of $573.7 million in the same period a year ago. All of our segments grew by 7% or more as compared to the prior year.</w:t>
      </w:r>
    </w:p>
    <w:p>
      <w:pPr>
        <w:spacing w:after="0" w:line="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Water Treatment segment sales increased $32.8 million, or 11%, to $333.3 million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27, 2026, from sales of $300.5 million in the same period a year ago. Sales of bulk commodity products in the Water Treatment segment were approximately 11% of sales dollars in the current period and 8% in the same period a year ago. Sales increased as a result of improved pricing and increased sales volumes on certain of our products and approximately $10.6 million of added sales from acquired businesses.</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Food &amp; Health Sciences Segment. </w:t>
      </w:r>
      <w:r>
        <w:rPr>
          <w:rFonts w:ascii="Arial" w:cs="Arial" w:eastAsia="Arial" w:hAnsi="Arial"/>
          <w:sz w:val="18"/>
          <w:szCs w:val="18"/>
          <w:color w:val="auto"/>
        </w:rPr>
        <w:t>Food &amp; Health Sciences segment sales increased $11.8 million or 7%, to $173.9 million for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27, 2026, from sales of $162.1 million in the same period a year ago. Sales dollars increased as a result of increased volumes of our agricultural, nutrition, and pharmaceutical products, partially offset by decreased sales volumes of our food ingredients products.</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Industrial Solutions Segment. </w:t>
      </w:r>
      <w:r>
        <w:rPr>
          <w:rFonts w:ascii="Arial" w:cs="Arial" w:eastAsia="Arial" w:hAnsi="Arial"/>
          <w:sz w:val="18"/>
          <w:szCs w:val="18"/>
          <w:color w:val="auto"/>
        </w:rPr>
        <w:t>Industrial Solutions segment sales increased $11.2 million, or 10%, to $122.3 million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27, 2026, from sales of $111.1 million in the same period a year ago. Sales of bulk commodity products in the Industrial Solutions segment were approximately 21% of sales dollars in both the current period and the same period a year ago. Sales increased primarily as a result of improved pricing of certain of our manufactured, blended and repackaged products.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Gross profit increased $ 10.6 million, or 8%, to $150.6 million, or 24% of sales, for the six months ended September 27, 2026, from $140.0 million, or 24% of sales, in the same period a year ago. During the current period, the LIFO reserve increased, and gross profit decreased, by $3.9 million due primarily to a projected increase in certain commodity volumes and costs at year end. In the same period a year ago, the LIFO reserve increased, and gross profit decreased, by $0.9 million. The $3.0 million year-over-year increase in the unfavorable LIFO impact on gross profit was partially offset by $1.3 million of refunds of previously paid tariffs, which were recorded as a reduction of cost of sales. The refunded tariffs related to products for which customer pricing had not been increased in response to tariffs.</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Gross profit for the Water Treatment segment increased $10.2 million, or 12%, to $ 97.2 million, or 29% of sales,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six months ended September 27, 2026, from $87.0 million, or 29% of sales, in the same period a year ago. During the current year, the LIFO reserve increased, and gross profit decreased, by $1.1 million. During the prior year the LIFO reserve increased, and gross profit decreased, by $0.2 million. The $0.9 million year-over-year impact of the unfavorable LIFO reserve was more than offset by $1.2 million of refunds of previously paid tariffs, which were recorded as a reduction of cost of sales. Gross profit increased primarily as a result of organic and inorganic sales growth.</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Food &amp; Health Sciences Segment. </w:t>
      </w:r>
      <w:r>
        <w:rPr>
          <w:rFonts w:ascii="Arial" w:cs="Arial" w:eastAsia="Arial" w:hAnsi="Arial"/>
          <w:sz w:val="18"/>
          <w:szCs w:val="18"/>
          <w:color w:val="auto"/>
        </w:rPr>
        <w:t>Gross profit for the Food &amp; Health Sciences segment decreased $0.6 million, or 2%, to $34.2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20% of sales, for the six months ended September 27, 2026, from $34.8 million, or 21% of sales, in the same period a year ago. During the current year, the LIFO reserve increased, and gross profit decreased, by $1.5 million. During the prior year the LIFO reserve increased, and gross profit decreased, by $0.4 million. Gross profit decreased primarily as a result of the $1.1 million year-over-year impact of the unfavorable LIFO reserve increase, partially offset by the increase in sales.</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Industrial Solutions Segment</w:t>
      </w:r>
      <w:r>
        <w:rPr>
          <w:rFonts w:ascii="Arial" w:cs="Arial" w:eastAsia="Arial" w:hAnsi="Arial"/>
          <w:sz w:val="18"/>
          <w:szCs w:val="18"/>
          <w:color w:val="auto"/>
        </w:rPr>
        <w:t>. Gross profit for our Industrial Solutions segment increased $1.0 million, or 6%, to $ 19.2 million, or 16% of</w:t>
      </w:r>
      <w:r>
        <w:rPr>
          <w:rFonts w:ascii="Arial" w:cs="Arial" w:eastAsia="Arial" w:hAnsi="Arial"/>
          <w:sz w:val="18"/>
          <w:szCs w:val="18"/>
          <w:i w:val="1"/>
          <w:iCs w:val="1"/>
          <w:color w:val="auto"/>
        </w:rPr>
        <w:t xml:space="preserve"> </w:t>
      </w:r>
      <w:r>
        <w:rPr>
          <w:rFonts w:ascii="Arial" w:cs="Arial" w:eastAsia="Arial" w:hAnsi="Arial"/>
          <w:sz w:val="18"/>
          <w:szCs w:val="18"/>
          <w:color w:val="auto"/>
        </w:rPr>
        <w:t>sales, for the six months ended September 27, 2026, from $18.2 million, or 16% of sales, in the same period a year ago. During the current year, the LIFO reserve increased, and gross profit decreased, by $1.3 million. During the prior year the LIFO reserve increased, and gross profit decreased, by $0.3 million. Gross profit increased due to higher sales, partially offset by the $1.0 million year-over-year impact of the unfavorable LIFO reserve increase.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SG&amp;A expenses increased $5.3 million, or 8%, to $70.0 million, or 11% of sales, for the six months ended September 27, 2026, from $64.7 million, or 11% of sales, in the same period a year ago. This included $2.2 million in added costs from the acquired businesses in our Water Treatment segment. In addition, the prior-year period included a $1.9 million favorable fair value adjustment that reduced SG&amp;A, reflecting a downward revision to the estimated Water Solutions earnout liability based on a change in projected estimates related to the earnout target. This benefit did not recur in the current period, resulting in a $1.9 million year-over-year increase in SG&amp;A. SG&amp;A expenses also increased due to increases in other variable costs, including variable pay and personnel costs.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Operating income increased $ 5.3 million, or 7%, to $80.6 million, or 13% of sales, for the six months ended September 27, 2026, from $75.3 million, or 13% of sales, in the same period a year ago due to the combined impact of the factors discussed above.</w:t>
      </w:r>
    </w:p>
    <w:p>
      <w:pPr>
        <w:sectPr>
          <w:pgSz w:w="11900" w:h="16838" w:orient="portrait"/>
          <w:cols w:equalWidth="0" w:num="1">
            <w:col w:w="11240"/>
          </w:cols>
          <w:pgMar w:left="320" w:top="124" w:right="339" w:bottom="0"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ectPr>
          <w:pgSz w:w="11900" w:h="16838" w:orient="portrait"/>
          <w:cols w:equalWidth="0" w:num="1">
            <w:col w:w="11240"/>
          </w:cols>
          <w:pgMar w:left="320" w:top="124" w:right="339" w:bottom="0" w:gutter="0" w:footer="0" w:header="0"/>
          <w:type w:val="continuous"/>
        </w:sectPr>
      </w:pPr>
    </w:p>
    <w:bookmarkStart w:id="21" w:name="page22"/>
    <w:bookmarkEnd w:id="21"/>
    <w:p>
      <w:pPr>
        <w:jc w:val="both"/>
        <w:spacing w:after="0" w:line="268" w:lineRule="auto"/>
        <w:rPr>
          <w:sz w:val="20"/>
          <w:szCs w:val="20"/>
          <w:color w:val="auto"/>
        </w:rPr>
      </w:pPr>
      <w:r>
        <w:rPr>
          <w:rFonts w:ascii="Arial" w:cs="Arial" w:eastAsia="Arial" w:hAnsi="Arial"/>
          <w:sz w:val="18"/>
          <w:szCs w:val="18"/>
          <w:color w:val="auto"/>
        </w:rPr>
        <w:t>Interest expense decreased $1.7 million to $5.4 million for the six months ended September 27, 2026, from $7.1 million in the same period a year ago. Interest expense decreased due to a decrease in outstanding borrowings in the current year as compared to a year ago as well as slightly lower interest rates.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Other income was $1.7 million for both the six months ended September 27, 2026 and the same period a year ago. The income represents gains recorded on investments held for our non-qualified deferred compensation plan. The amounts recorded as a gain were offset by similar amounts recorded as an increase to compensation expense within SG&amp;A expenses.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effective income tax rate was 27% for the six months ended September 27, 2026 and 26% for the same period a year ago. The effective tax rate is impacted by projected levels of annual taxable income, permanent items, state taxes and discrete items, including tax effects of stock-based compensation. Our effective tax rate for the full year is currently expected to be approximately 25% to 27%.</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Cash was $7.1 million at September 27, 2026, an increase of $3.2 million as compared with the $3.9 million available as of March 29, 2026.</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provided by operating activities was $75.5 million for the six months ended September 27, 2026, compared to cash provided by operating activities of $71.0 million in the same period a year ago. The year-over-year increase in cash provided by operating activities in the current period was primarily driven by favorable year-over-year changes in net income and accounts payable compared to the same period a year ago, which was offset by unfavorable changes in accounts receivable and inventories. Due to the nature of our operations, which includes purchases of large quantities of bulk chemicals, the timing of purchases can result in significant changes in working capital investment and the resulting operating cash flow.</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used in investing activities was $27.0 million for the six months ended September 27, 2026, compared to $185.8 million in the same period a year ago. In the current period, we incurred acquisition spending of $5.2 million compared to $162.5 million in the same period a year ago, including the acquisition of WaterSurplus for approximately $149.9 million paid at closing. Capital expenditures were $22.4 million for the current period, compared to $24.3 million in the same period a year ago. In the current period, we expended less on delivery vehicles and trailers, contributing to the overall decrease in capital expenditures compared to the prior year.</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used in financing activities was $45.3 million for the six months ended September 27, 2026, compared to $ 120.1 million of cash provided by financing activities in the same period a year ago. Included in financing activities in the current period were $15.0 million net debt payments, compared to net debt borrowings of $130.0 million in the same period a year ago when we drew approximately $ 150 million of proceeds from the Revolving Loan Facility for the acquisition of WaterSurplus. In addition, we repurchased $18.6 million of our common stock in the current period, compared to no repurchases in the same period of the prior year.</w:t>
      </w:r>
    </w:p>
    <w:p>
      <w:pPr>
        <w:spacing w:after="0" w:line="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expect our cash balances and funds available under our credit facility, discussed below, along with cash flows generated from operations, will be sufficient to fund the cash requirements of our ongoing operations for the foreseeable future.</w:t>
      </w:r>
    </w:p>
    <w:p>
      <w:pPr>
        <w:spacing w:after="0" w:line="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Board has authorized the repurchase of up to 2.6 million shares of our outstanding common shares. The shares may be purchased on the open market or in privately negotiated transactions subject to applicable securities laws and regulations. The primary objective of the share repurchase program is to offset the impact of dilution from issuances relating to employee and director equity grants and our employee stock purchase program. During the six months ended September 27, 2026, we repurchased 132,577 shares of common stock at an aggregate purchase price of $18.6 million. During the six months ended September 28, 2025, we repurchased no shares of common stock. As of September 27, 2026, 598,967 shares remained available to be repurchased under the share repurchase program.</w:t>
      </w:r>
    </w:p>
    <w:p>
      <w:pPr>
        <w:spacing w:after="0" w:line="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party to a second amended and restated credit agreement with U.S. Bank National Association (“U.S. Bank”) as administrative agent, sole lead arranger and sole book runner, and the other lenders from time to time party thereto (collectively, the “Lenders”), dated as of March 31, 2022 (as amended, restated or modified from time to time, the “Credit Agreement”). A Joinder, Consent and Second Amendment, dated April 25, 2025 increased the revolving commitment under the Credit Agreement to provide us with senior secured revolving credit facilities (the “Revolving Loan Facility”) totaling $400.0 million. A Third Amendment, dated October 15, 2025, modified terms related to qualified receivables transactions, as defined in the Credit Agreement. The Revolving Loan Facility includes a $10.0 million letter of credit subfacility and $25.0 million swingline subfacility. The Revolving Loan Facility has a five-year maturity date, maturing on April 25, 2030. The Revolving Loan Facility is secured by substantially all of our personal property assets and those of our subsidiaries. We may use the amount available under the Revolving Loan Facility for working capital, capital expenditures, share repurchases, restricted payments and acquisitions permitted under the Credit Agreement, and other general corporate purposes. At September 27, 2026, we had $229.0 million outstanding under the Revolving Loan Facility.</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Borrowings under the Revolving Loan Facility bear interest at a rate per annum equal to one of the following, plus, in both cases, an applicable margin based upon our leverage ratio: (a) Term SOFR, for an interest period of one, three or six months as selected by us, reset at the end of the selected interest period, or (b) a base rate determined by reference to the highest of (1) U. S. Bank’s prime rate, (2) the Federal Funds Effective Rate plus 0.5%, or (3) one-month Term SOFR for U.S. dollars plus 1.0%.</w:t>
      </w:r>
    </w:p>
    <w:p>
      <w:pPr>
        <w:spacing w:after="0" w:line="6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Term SOFR margin is between 1.0% and 1.85%, depending on our leverage ratio. The base rate margin is between 0.00% and 0.85%, depending on our leverage ratio. At September 27, 2026, the effective interest rate on our borrowings was 4.3%.</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addition to paying interest on the outstanding principal under the Revolving Loan Facility, we are required to pay a commitment fee on the unutilized commitments thereunder. The commitment fee is between 0.15% and 0.25%, depending on our leverage ratio.</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Debt issuance costs paid to the Lenders are being amortized as interest expense over the term of the Credit Agreement. As of September 27, 2026, the unamortized balance of these costs was $0.7 million, and is included within other long-term assets on our condensed consolidated balance sheet.</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Credit Agreement requires that we maintain (a) a minimum fixed charge coverage ratio of 1.15 to 1.00 and (b) a maximum total cash flow leverage ratio of 3.5 to 1.0, subject to an election by us to increase the maximum total cash flow leverage ratio to 4.0 to 1.0 after certain Permitted Acquisitions subject to limitations set forth in the Credit Agreement. The Credit Agreement also contains other customary affirmative and negative covenants, including covenants that restrict our ability to incur additional indebtedness, dispose of significant assets, make certain investments, including any acquisitions other than permitted acquisitions, make certain payments, enter into sale and leaseback transactions, grant liens on its assets or rate management transactions, subject to certain limitations.</w:t>
      </w:r>
    </w:p>
    <w:p>
      <w:pPr>
        <w:spacing w:after="0" w:line="7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are permitted to make distributions, pay dividends and repurchase shares so long as no default or event of default exists or would exist as a result thereof. We were in compliance with all covenants of the Credit Agreement as of September 27, 2026 and expect to remain in</w:t>
      </w:r>
    </w:p>
    <w:p>
      <w:pPr>
        <w:sectPr>
          <w:pgSz w:w="11900" w:h="16838" w:orient="portrait"/>
          <w:cols w:equalWidth="0" w:num="1">
            <w:col w:w="11240"/>
          </w:cols>
          <w:pgMar w:left="320" w:top="121" w:right="339" w:bottom="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compliance with all covenants for the next 12 months.</w:t>
      </w:r>
    </w:p>
    <w:p>
      <w:pPr>
        <w:spacing w:after="0" w:line="11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Credit Agreement contains customary events of default including failure to make payments under the Revolving Loan Facility, failure to comply with covenants in the Credit Agreement and other loan documents, cross default to other material indebtedness, our failure to pay or discharge material judgments, bankruptcy, and change of control of the Company. The occurrence of an event of default would permit the lenders to terminate their commitments and accelerate loans under the Revolving Loan Facility.</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in place an interest rate swap agreement to manage the risk associated with a portion of our variable-rate long-term debt. We do not utilize derivative instruments for speculative purposes. The interest rate swap involves the exchange of fixed-rate and variable-rate payments without the exchange of the underlying notional amount on which the interest payments are calculated. The notional amount of the swap agreement is $60 million, and it will terminate on May 1, 2027.</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part of our growth strategy, we have acquired businesses and may pursue acquisitions or other strategic relationships in the future that we believe will complement or expand our existing businesses or increase our customer base. We believe we could borrow additional funds under our current or new credit facilities or sell equity for strategic reasons or to further strengthen our financial position. We believe that our existing cash and cash equivalents, together with cash generated from operations and available borrowings under our existing Credit Agreement, will be sufficient to meet our working capital expenditure requirements for at least the next 12 months.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115"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There have been no material changes in our critical accounting estimates, as disclosed in our </w:t>
      </w:r>
      <w:hyperlink r:id="rId19">
        <w:r>
          <w:rPr>
            <w:rFonts w:ascii="Arial" w:cs="Arial" w:eastAsia="Arial" w:hAnsi="Arial"/>
            <w:sz w:val="18"/>
            <w:szCs w:val="18"/>
            <w:u w:val="single" w:color="auto"/>
            <w:color w:val="0000FF"/>
          </w:rPr>
          <w:t>Annual Report on Form 10-K for fiscal 2026</w:t>
        </w:r>
      </w:hyperlink>
      <w:r>
        <w:rPr>
          <w:rFonts w:ascii="Arial" w:cs="Arial" w:eastAsia="Arial" w:hAnsi="Arial"/>
          <w:sz w:val="18"/>
          <w:szCs w:val="18"/>
          <w:color w:val="auto"/>
        </w:rPr>
        <w: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15" w:lineRule="exact"/>
        <w:rPr>
          <w:sz w:val="20"/>
          <w:szCs w:val="20"/>
          <w:color w:val="auto"/>
        </w:rPr>
      </w:pPr>
    </w:p>
    <w:p>
      <w:pPr>
        <w:jc w:val="both"/>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The information presented in this Quarterly Report on Form 10-Q contains forward-looking statements within the meaning of Section 21E of the Securities Exchange Act of 1934, as amended (the “Exchange Act”). These forward-looking statements have been made pursuant to the provisions of the Private Securities Litigation Reform Act of 1995. These statements are not historical facts, but rather are based on our current expectations, estimates and projections, and our beliefs and assumptions. Words such as “anticipate,” “believe,” “estimate,” “expect,” “intend,” “plan,” “will” and similar expressions may identify forward-looking statements. These statements are not guarantees of future performance and are subject to certain risks, uncertainties and other factors, some of which are beyond our control and are difficult to predict. These factors could cause actual results to differ materially from those expressed or forecasted in the forward-looking statements. Additional information concerning potential factors that could affect future financial results is included in our </w:t>
      </w:r>
      <w:hyperlink r:id="rId19">
        <w:r>
          <w:rPr>
            <w:rFonts w:ascii="Arial" w:cs="Arial" w:eastAsia="Arial" w:hAnsi="Arial"/>
            <w:sz w:val="18"/>
            <w:szCs w:val="18"/>
            <w:u w:val="single" w:color="auto"/>
            <w:color w:val="0000FF"/>
          </w:rPr>
          <w:t>Annual Report on Form 10-K for fiscal 2026</w:t>
        </w:r>
      </w:hyperlink>
      <w:r>
        <w:rPr>
          <w:rFonts w:ascii="Arial" w:cs="Arial" w:eastAsia="Arial" w:hAnsi="Arial"/>
          <w:sz w:val="18"/>
          <w:szCs w:val="18"/>
          <w:color w:val="auto"/>
        </w:rPr>
        <w:t>. We caution you not to place undue reliance on these forward-looking statements, which reflect our management’s view only as of the date of this Quarterly Report on Form 10-Q. We are not obligated to update these statements or publicly release the result of any revisions to them to reflect events or circumstances after the date of this Quarterly Report on Form 10-Q or to reflect the occurrence of unanticipated events.</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tabs>
          <w:tab w:leader="none" w:pos="10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QUANTITATIVE AND QUALITATIVE DISCLOSURES ABOUT MARKET RISK</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subject to the risk inherent in the cyclical nature of commodity chemical prices. However, we do not currently purchase forward contracts or otherwise engage in hedging activities with respect to the purchase of commodity chemicals. We attempt to pass changes in the cost of our materials to our customers. However, there are no assurances that we will be able to pass on the increases in the future.</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exposed to market risks related to interest rates. Our exposure to changes in interest rates is primarily related to borrowings under our Revolving Loan Facility. We have in place an interest rate swap agreement to manage the risk associated with a portion of our variable-rate long-term debt. The interest rate swap involves the exchange of fixed-rate and variable-rate payments without the exchange of the underlying notional amount on which the interest payments are calculated. The notional amount of the swap agreement is $60.0 million, and it will terminate on May 1, 2027. As of September 27, 2026, a 25-basis point change in interest rates on our unhedged variable-rate debt would potentially increase or decrease our annual interest expense by approximately $0.4 million.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Other types of market risk, such as foreign currency risk, do not arise in the normal course of our business activities.</w:t>
      </w:r>
    </w:p>
    <w:p>
      <w:pPr>
        <w:spacing w:after="0" w:line="11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the end of the period covered by this Quarterly Report on Form 10-Q, we conducted an evaluation, under supervision and with the participation of management, including the chief executive officer and chief financial officer, of the effectiveness of the design and operation of our disclosure controls and procedures pursuant to Rules 13a-15 and 15d-15 of the Exchange Act. Based upon that evaluation, our chief executive officer and chief financial officer concluded that our disclosure controls and procedures were effective as of September 27, 2026. Disclosure controls and procedures are defined by Rules 13a-15(e) and 15d-15(e) of the Exchange Act as controls and other procedures that are designed to ensure that information required to be disclosed by us in reports filed with the SEC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filed under the Exchange Act is accumulated and communicated to our management, including our principal executive and principal financial officers, or person performing similar functions, as appropriate to allow timely decisions regarding required disclosure.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1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There was no change in our internal control over financial reporting during the second quarter of fiscal 2027 that has materially affected, or is reasonably likely to materially affect, our internal control over financial reporting.</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LEGAL PROCEEDINGS</w:t>
      </w:r>
    </w:p>
    <w:p>
      <w:pPr>
        <w:spacing w:after="0" w:line="1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There are no material pending legal proceedings, other than ordinary routine litigation incidental to the business, to which we or any of our subsidiaries are a party or of which any of our property is the subject.</w:t>
      </w:r>
    </w:p>
    <w:p>
      <w:pPr>
        <w:spacing w:after="0" w:line="4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7"/>
          <w:szCs w:val="17"/>
          <w:color w:val="auto"/>
        </w:rPr>
        <w:t>RISK FACTORS</w:t>
      </w:r>
    </w:p>
    <w:p>
      <w:pPr>
        <w:spacing w:after="0" w:line="117"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There have been no material changes to our risk factors from those disclosed in our </w:t>
      </w:r>
      <w:hyperlink r:id="rId37">
        <w:r>
          <w:rPr>
            <w:rFonts w:ascii="Arial" w:cs="Arial" w:eastAsia="Arial" w:hAnsi="Arial"/>
            <w:sz w:val="18"/>
            <w:szCs w:val="18"/>
            <w:u w:val="single" w:color="auto"/>
            <w:color w:val="0000FF"/>
          </w:rPr>
          <w:t>Annual Report on Form 10-K for fiscal 2026</w:t>
        </w:r>
      </w:hyperlink>
      <w:r>
        <w:rPr>
          <w:rFonts w:ascii="Arial" w:cs="Arial" w:eastAsia="Arial" w:hAnsi="Arial"/>
          <w:sz w:val="18"/>
          <w:szCs w:val="18"/>
          <w:color w:val="auto"/>
        </w:rPr>
        <w:t>.</w:t>
      </w:r>
    </w:p>
    <w:p>
      <w:pPr>
        <w:spacing w:after="0" w:line="11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UNREGISTERED SALES OF EQUITY SECURITIES AND USE OF PROCEEDS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Board has authorized the repurchase of up to 2.6 million shares of our outstanding common stock, initially approved on May 29, 2014 and subsequently amended from time to time. The repurchase plan has no expiration date. The shares may be purchased on the open market or in privately negotiated transactions subject to applicable securities laws and regulations. The following table sets forth information concerning purchases of our common stock for the three months ended September 27, 2026:</w:t>
      </w:r>
    </w:p>
    <w:p>
      <w:pPr>
        <w:spacing w:after="0" w:line="106" w:lineRule="exact"/>
        <w:rPr>
          <w:sz w:val="20"/>
          <w:szCs w:val="20"/>
          <w:color w:val="auto"/>
        </w:rPr>
      </w:pPr>
    </w:p>
    <w:tbl>
      <w:tblPr>
        <w:tblLayout w:type="fixed"/>
        <w:tblInd w:w="260" w:type="dxa"/>
        <w:tblCellMar>
          <w:top w:w="0" w:type="dxa"/>
          <w:left w:w="0" w:type="dxa"/>
          <w:bottom w:w="0" w:type="dxa"/>
          <w:right w:w="0" w:type="dxa"/>
        </w:tblCellMar>
      </w:tblPr>
      <w:tr>
        <w:trPr>
          <w:trHeight w:val="184"/>
        </w:trPr>
        <w:tc>
          <w:tcPr>
            <w:tcW w:w="2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rPr>
              <w:t>Total Number of Shares</w:t>
            </w:r>
          </w:p>
        </w:tc>
        <w:tc>
          <w:tcPr>
            <w:tcW w:w="100" w:type="dxa"/>
            <w:vAlign w:val="bottom"/>
          </w:tcPr>
          <w:p>
            <w:pPr>
              <w:spacing w:after="0"/>
              <w:rPr>
                <w:sz w:val="16"/>
                <w:szCs w:val="16"/>
                <w:color w:val="auto"/>
              </w:rPr>
            </w:pPr>
          </w:p>
        </w:tc>
        <w:tc>
          <w:tcPr>
            <w:tcW w:w="1940" w:type="dxa"/>
            <w:vAlign w:val="bottom"/>
          </w:tcPr>
          <w:p>
            <w:pPr>
              <w:jc w:val="right"/>
              <w:ind w:right="99"/>
              <w:spacing w:after="0"/>
              <w:rPr>
                <w:sz w:val="20"/>
                <w:szCs w:val="20"/>
                <w:color w:val="auto"/>
              </w:rPr>
            </w:pPr>
            <w:r>
              <w:rPr>
                <w:rFonts w:ascii="Arial" w:cs="Arial" w:eastAsia="Arial" w:hAnsi="Arial"/>
                <w:sz w:val="16"/>
                <w:szCs w:val="16"/>
                <w:b w:val="1"/>
                <w:bCs w:val="1"/>
                <w:color w:val="auto"/>
              </w:rPr>
              <w:t>Maximum Number of</w:t>
            </w:r>
          </w:p>
        </w:tc>
        <w:tc>
          <w:tcPr>
            <w:tcW w:w="0" w:type="dxa"/>
            <w:vAlign w:val="bottom"/>
          </w:tcPr>
          <w:p>
            <w:pPr>
              <w:spacing w:after="0"/>
              <w:rPr>
                <w:sz w:val="1"/>
                <w:szCs w:val="1"/>
                <w:color w:val="auto"/>
              </w:rPr>
            </w:pPr>
          </w:p>
        </w:tc>
      </w:tr>
      <w:tr>
        <w:trPr>
          <w:trHeight w:val="162"/>
        </w:trPr>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Total Number of Shares</w:t>
            </w:r>
          </w:p>
        </w:tc>
        <w:tc>
          <w:tcPr>
            <w:tcW w:w="340" w:type="dxa"/>
            <w:vAlign w:val="bottom"/>
          </w:tcPr>
          <w:p>
            <w:pPr>
              <w:spacing w:after="0"/>
              <w:rPr>
                <w:sz w:val="14"/>
                <w:szCs w:val="14"/>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Average Price Paid Per</w:t>
            </w:r>
          </w:p>
        </w:tc>
        <w:tc>
          <w:tcPr>
            <w:tcW w:w="19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Purchased as Part of a</w:t>
            </w:r>
          </w:p>
        </w:tc>
        <w:tc>
          <w:tcPr>
            <w:tcW w:w="100" w:type="dxa"/>
            <w:vAlign w:val="bottom"/>
          </w:tcPr>
          <w:p>
            <w:pPr>
              <w:spacing w:after="0"/>
              <w:rPr>
                <w:sz w:val="14"/>
                <w:szCs w:val="14"/>
                <w:color w:val="auto"/>
              </w:rPr>
            </w:pPr>
          </w:p>
        </w:tc>
        <w:tc>
          <w:tcPr>
            <w:tcW w:w="1940" w:type="dxa"/>
            <w:vAlign w:val="bottom"/>
          </w:tcPr>
          <w:p>
            <w:pPr>
              <w:jc w:val="right"/>
              <w:ind w:right="19"/>
              <w:spacing w:after="0" w:line="162" w:lineRule="exact"/>
              <w:rPr>
                <w:sz w:val="20"/>
                <w:szCs w:val="20"/>
                <w:color w:val="auto"/>
              </w:rPr>
            </w:pPr>
            <w:r>
              <w:rPr>
                <w:rFonts w:ascii="Arial" w:cs="Arial" w:eastAsia="Arial" w:hAnsi="Arial"/>
                <w:sz w:val="16"/>
                <w:szCs w:val="16"/>
                <w:b w:val="1"/>
                <w:bCs w:val="1"/>
                <w:color w:val="auto"/>
              </w:rPr>
              <w:t>Shares that May Yet be</w:t>
            </w:r>
          </w:p>
        </w:tc>
        <w:tc>
          <w:tcPr>
            <w:tcW w:w="0" w:type="dxa"/>
            <w:vAlign w:val="bottom"/>
          </w:tcPr>
          <w:p>
            <w:pPr>
              <w:spacing w:after="0"/>
              <w:rPr>
                <w:sz w:val="1"/>
                <w:szCs w:val="1"/>
                <w:color w:val="auto"/>
              </w:rPr>
            </w:pPr>
          </w:p>
        </w:tc>
      </w:tr>
      <w:tr>
        <w:trPr>
          <w:trHeight w:val="162"/>
        </w:trPr>
        <w:tc>
          <w:tcPr>
            <w:tcW w:w="23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00" w:type="dxa"/>
            <w:vAlign w:val="bottom"/>
            <w:vMerge w:val="restart"/>
          </w:tcPr>
          <w:p>
            <w:pPr>
              <w:spacing w:after="0"/>
              <w:rPr>
                <w:sz w:val="14"/>
                <w:szCs w:val="14"/>
                <w:color w:val="auto"/>
              </w:rPr>
            </w:pPr>
          </w:p>
        </w:tc>
        <w:tc>
          <w:tcPr>
            <w:tcW w:w="19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2040" w:type="dxa"/>
            <w:vAlign w:val="bottom"/>
            <w:gridSpan w:val="3"/>
            <w:vMerge w:val="continue"/>
          </w:tcPr>
          <w:p>
            <w:pPr>
              <w:spacing w:after="0"/>
              <w:rPr>
                <w:sz w:val="14"/>
                <w:szCs w:val="14"/>
                <w:color w:val="auto"/>
              </w:rPr>
            </w:pPr>
          </w:p>
        </w:tc>
        <w:tc>
          <w:tcPr>
            <w:tcW w:w="19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Publicly Announced</w:t>
            </w:r>
          </w:p>
        </w:tc>
        <w:tc>
          <w:tcPr>
            <w:tcW w:w="100" w:type="dxa"/>
            <w:vAlign w:val="bottom"/>
          </w:tcPr>
          <w:p>
            <w:pPr>
              <w:spacing w:after="0"/>
              <w:rPr>
                <w:sz w:val="14"/>
                <w:szCs w:val="14"/>
                <w:color w:val="auto"/>
              </w:rPr>
            </w:pPr>
          </w:p>
        </w:tc>
        <w:tc>
          <w:tcPr>
            <w:tcW w:w="194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Purchased under Plans</w:t>
            </w:r>
          </w:p>
        </w:tc>
        <w:tc>
          <w:tcPr>
            <w:tcW w:w="0" w:type="dxa"/>
            <w:vAlign w:val="bottom"/>
          </w:tcPr>
          <w:p>
            <w:pPr>
              <w:spacing w:after="0"/>
              <w:rPr>
                <w:sz w:val="1"/>
                <w:szCs w:val="1"/>
                <w:color w:val="auto"/>
              </w:rPr>
            </w:pPr>
          </w:p>
        </w:tc>
      </w:tr>
      <w:tr>
        <w:trPr>
          <w:trHeight w:val="216"/>
        </w:trPr>
        <w:tc>
          <w:tcPr>
            <w:tcW w:w="23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92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Purchased</w:t>
            </w:r>
          </w:p>
        </w:tc>
        <w:tc>
          <w:tcPr>
            <w:tcW w:w="3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72"/>
              <w:spacing w:after="0"/>
              <w:rPr>
                <w:sz w:val="20"/>
                <w:szCs w:val="20"/>
                <w:color w:val="auto"/>
              </w:rPr>
            </w:pPr>
            <w:r>
              <w:rPr>
                <w:rFonts w:ascii="Arial" w:cs="Arial" w:eastAsia="Arial" w:hAnsi="Arial"/>
                <w:sz w:val="16"/>
                <w:szCs w:val="16"/>
                <w:b w:val="1"/>
                <w:bCs w:val="1"/>
                <w:color w:val="auto"/>
              </w:rPr>
              <w:t>Share</w:t>
            </w:r>
          </w:p>
        </w:tc>
        <w:tc>
          <w:tcPr>
            <w:tcW w:w="100" w:type="dxa"/>
            <w:vAlign w:val="bottom"/>
            <w:tcBorders>
              <w:bottom w:val="single" w:sz="8" w:color="CCEEFF"/>
            </w:tcBorders>
          </w:tcPr>
          <w:p>
            <w:pPr>
              <w:spacing w:after="0"/>
              <w:rPr>
                <w:sz w:val="18"/>
                <w:szCs w:val="18"/>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Plan or Program</w:t>
            </w:r>
          </w:p>
        </w:tc>
        <w:tc>
          <w:tcPr>
            <w:tcW w:w="100" w:type="dxa"/>
            <w:vAlign w:val="bottom"/>
            <w:tcBorders>
              <w:bottom w:val="single" w:sz="8" w:color="CCEEFF"/>
            </w:tcBorders>
          </w:tcPr>
          <w:p>
            <w:pPr>
              <w:spacing w:after="0"/>
              <w:rPr>
                <w:sz w:val="18"/>
                <w:szCs w:val="18"/>
                <w:color w:val="auto"/>
              </w:rPr>
            </w:pPr>
          </w:p>
        </w:tc>
        <w:tc>
          <w:tcPr>
            <w:tcW w:w="19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or Programs</w:t>
            </w:r>
          </w:p>
        </w:tc>
        <w:tc>
          <w:tcPr>
            <w:tcW w:w="0" w:type="dxa"/>
            <w:vAlign w:val="bottom"/>
          </w:tcPr>
          <w:p>
            <w:pPr>
              <w:spacing w:after="0"/>
              <w:rPr>
                <w:sz w:val="1"/>
                <w:szCs w:val="1"/>
                <w:color w:val="auto"/>
              </w:rPr>
            </w:pPr>
          </w:p>
        </w:tc>
      </w:tr>
      <w:tr>
        <w:trPr>
          <w:trHeight w:val="237"/>
        </w:trPr>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06/29/2026-07/26/2026</w:t>
            </w:r>
          </w:p>
        </w:tc>
        <w:tc>
          <w:tcPr>
            <w:tcW w:w="100" w:type="dxa"/>
            <w:vAlign w:val="bottom"/>
            <w:shd w:val="clear" w:color="auto" w:fill="CCEEFF"/>
          </w:tcPr>
          <w:p>
            <w:pPr>
              <w:spacing w:after="0"/>
              <w:rPr>
                <w:sz w:val="20"/>
                <w:szCs w:val="20"/>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39"/>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686,348</w:t>
            </w:r>
          </w:p>
        </w:tc>
        <w:tc>
          <w:tcPr>
            <w:tcW w:w="0" w:type="dxa"/>
            <w:vAlign w:val="bottom"/>
          </w:tcPr>
          <w:p>
            <w:pPr>
              <w:spacing w:after="0"/>
              <w:rPr>
                <w:sz w:val="1"/>
                <w:szCs w:val="1"/>
                <w:color w:val="auto"/>
              </w:rPr>
            </w:pPr>
          </w:p>
        </w:tc>
      </w:tr>
      <w:tr>
        <w:trPr>
          <w:trHeight w:val="243"/>
        </w:trPr>
        <w:tc>
          <w:tcPr>
            <w:tcW w:w="2360" w:type="dxa"/>
            <w:vAlign w:val="bottom"/>
          </w:tcPr>
          <w:p>
            <w:pPr>
              <w:ind w:left="20"/>
              <w:spacing w:after="0"/>
              <w:rPr>
                <w:sz w:val="20"/>
                <w:szCs w:val="20"/>
                <w:color w:val="auto"/>
              </w:rPr>
            </w:pPr>
            <w:r>
              <w:rPr>
                <w:rFonts w:ascii="Arial" w:cs="Arial" w:eastAsia="Arial" w:hAnsi="Arial"/>
                <w:sz w:val="18"/>
                <w:szCs w:val="18"/>
                <w:color w:val="auto"/>
              </w:rPr>
              <w:t>07/27/2026-08/23/2026</w:t>
            </w:r>
          </w:p>
        </w:tc>
        <w:tc>
          <w:tcPr>
            <w:tcW w:w="10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686,348</w:t>
            </w:r>
          </w:p>
        </w:tc>
        <w:tc>
          <w:tcPr>
            <w:tcW w:w="0" w:type="dxa"/>
            <w:vAlign w:val="bottom"/>
          </w:tcPr>
          <w:p>
            <w:pPr>
              <w:spacing w:after="0"/>
              <w:rPr>
                <w:sz w:val="1"/>
                <w:szCs w:val="1"/>
                <w:color w:val="auto"/>
              </w:rPr>
            </w:pPr>
          </w:p>
        </w:tc>
      </w:tr>
      <w:tr>
        <w:trPr>
          <w:trHeight w:val="243"/>
        </w:trPr>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08/24/2026-09/27/2026</w:t>
            </w:r>
          </w:p>
        </w:tc>
        <w:tc>
          <w:tcPr>
            <w:tcW w:w="100" w:type="dxa"/>
            <w:vAlign w:val="bottom"/>
            <w:shd w:val="clear" w:color="auto" w:fill="CCEEFF"/>
          </w:tcPr>
          <w:p>
            <w:pPr>
              <w:spacing w:after="0"/>
              <w:rPr>
                <w:sz w:val="21"/>
                <w:szCs w:val="21"/>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87,381</w:t>
            </w:r>
          </w:p>
        </w:tc>
        <w:tc>
          <w:tcPr>
            <w:tcW w:w="3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133.07</w:t>
            </w:r>
          </w:p>
        </w:tc>
        <w:tc>
          <w:tcPr>
            <w:tcW w:w="100" w:type="dxa"/>
            <w:vAlign w:val="bottom"/>
            <w:shd w:val="clear" w:color="auto" w:fill="CCEEFF"/>
          </w:tcPr>
          <w:p>
            <w:pPr>
              <w:spacing w:after="0"/>
              <w:rPr>
                <w:sz w:val="21"/>
                <w:szCs w:val="21"/>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87,381</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598,967</w:t>
            </w:r>
          </w:p>
        </w:tc>
        <w:tc>
          <w:tcPr>
            <w:tcW w:w="0" w:type="dxa"/>
            <w:vAlign w:val="bottom"/>
          </w:tcPr>
          <w:p>
            <w:pPr>
              <w:spacing w:after="0"/>
              <w:rPr>
                <w:sz w:val="1"/>
                <w:szCs w:val="1"/>
                <w:color w:val="auto"/>
              </w:rPr>
            </w:pPr>
          </w:p>
        </w:tc>
      </w:tr>
      <w:tr>
        <w:trPr>
          <w:trHeight w:val="241"/>
        </w:trPr>
        <w:tc>
          <w:tcPr>
            <w:tcW w:w="2460" w:type="dxa"/>
            <w:vAlign w:val="bottom"/>
            <w:gridSpan w:val="2"/>
          </w:tcPr>
          <w:p>
            <w:pPr>
              <w:ind w:left="460"/>
              <w:spacing w:after="0"/>
              <w:rPr>
                <w:sz w:val="20"/>
                <w:szCs w:val="20"/>
                <w:color w:val="auto"/>
              </w:rPr>
            </w:pPr>
            <w:r>
              <w:rPr>
                <w:rFonts w:ascii="Arial" w:cs="Arial" w:eastAsia="Arial" w:hAnsi="Arial"/>
                <w:sz w:val="18"/>
                <w:szCs w:val="18"/>
                <w:color w:val="auto"/>
              </w:rPr>
              <w:t>Total</w:t>
            </w:r>
          </w:p>
        </w:tc>
        <w:tc>
          <w:tcPr>
            <w:tcW w:w="1920" w:type="dxa"/>
            <w:vAlign w:val="bottom"/>
          </w:tcPr>
          <w:p>
            <w:pPr>
              <w:jc w:val="right"/>
              <w:spacing w:after="0"/>
              <w:rPr>
                <w:sz w:val="20"/>
                <w:szCs w:val="20"/>
                <w:color w:val="auto"/>
              </w:rPr>
            </w:pPr>
            <w:r>
              <w:rPr>
                <w:rFonts w:ascii="Arial" w:cs="Arial" w:eastAsia="Arial" w:hAnsi="Arial"/>
                <w:sz w:val="18"/>
                <w:szCs w:val="18"/>
                <w:color w:val="auto"/>
              </w:rPr>
              <w:t>87,381</w:t>
            </w: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87,381</w:t>
            </w: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DEFAULTS UPON SENIOR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MINE SAFETY DISCLOSURES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7"/>
          <w:szCs w:val="17"/>
          <w:color w:val="auto"/>
        </w:rPr>
        <w:t>OTHER INFORMATION</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None of our directors or officers (as defined in Rule 16a-1(f) of the Exchange Act) adopted, modified or terminated any contract, instruction, or written plan for the purchase or sale of our securities that was intended to satisfy the affirmative defense conditions of Rule 10b5-1(c) of the Exchange Act or any non-Rule 10b5-1 trading arrangement (as defined in Item 408(c) of Regulation S-K) during the three months ended September 27, 2026.</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5" w:name="page26"/>
    <w:bookmarkEnd w:id="25"/>
    <w:p>
      <w:pPr>
        <w:spacing w:after="0"/>
        <w:tabs>
          <w:tab w:leader="none" w:pos="102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7"/>
          <w:szCs w:val="17"/>
          <w:color w:val="auto"/>
        </w:rPr>
        <w:t>EXHIBITS</w:t>
      </w:r>
    </w:p>
    <w:p>
      <w:pPr>
        <w:spacing w:after="0" w:line="171" w:lineRule="exact"/>
        <w:rPr>
          <w:sz w:val="20"/>
          <w:szCs w:val="20"/>
          <w:color w:val="auto"/>
        </w:rPr>
      </w:pPr>
    </w:p>
    <w:p>
      <w:pPr>
        <w:ind w:left="600" w:right="3440" w:hanging="401"/>
        <w:spacing w:after="0" w:line="279" w:lineRule="auto"/>
        <w:rPr>
          <w:rFonts w:ascii="Arial" w:cs="Arial" w:eastAsia="Arial" w:hAnsi="Arial"/>
          <w:sz w:val="18"/>
          <w:szCs w:val="18"/>
          <w:color w:val="auto"/>
        </w:rPr>
      </w:pPr>
      <w:r>
        <w:rPr>
          <w:rFonts w:ascii="Arial" w:cs="Arial" w:eastAsia="Arial" w:hAnsi="Arial"/>
          <w:sz w:val="18"/>
          <w:szCs w:val="18"/>
          <w:u w:val="single" w:color="auto"/>
          <w:color w:val="auto"/>
        </w:rPr>
        <w:t>Exhibit</w:t>
      </w:r>
      <w:r>
        <w:rPr>
          <w:sz w:val="20"/>
          <w:szCs w:val="20"/>
          <w:color w:val="auto"/>
        </w:rPr>
        <w:t xml:space="preserve"> </w:t>
      </w:r>
      <w:r>
        <w:rPr>
          <w:rFonts w:ascii="Arial" w:cs="Arial" w:eastAsia="Arial" w:hAnsi="Arial"/>
          <w:sz w:val="18"/>
          <w:szCs w:val="18"/>
          <w:u w:val="single" w:color="auto"/>
          <w:color w:val="auto"/>
        </w:rPr>
        <w:t xml:space="preserve">Description </w:t>
      </w:r>
      <w:r>
        <w:rPr>
          <w:rFonts w:ascii="Arial" w:cs="Arial" w:eastAsia="Arial" w:hAnsi="Arial"/>
          <w:sz w:val="18"/>
          <w:szCs w:val="18"/>
          <w:color w:val="auto"/>
        </w:rPr>
        <w:t xml:space="preserve">3.1 </w:t>
      </w:r>
      <w:hyperlink r:id="rId39">
        <w:r>
          <w:rPr>
            <w:rFonts w:ascii="Arial" w:cs="Arial" w:eastAsia="Arial" w:hAnsi="Arial"/>
            <w:sz w:val="18"/>
            <w:szCs w:val="18"/>
            <w:u w:val="single" w:color="auto"/>
            <w:color w:val="0000FF"/>
          </w:rPr>
          <w:t>Restated Articles of Incorporation.</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(1)</w:t>
      </w:r>
    </w:p>
    <w:p>
      <w:pPr>
        <w:spacing w:after="0" w:line="245" w:lineRule="exact"/>
        <w:rPr>
          <w:sz w:val="20"/>
          <w:szCs w:val="20"/>
          <w:color w:val="auto"/>
        </w:rPr>
      </w:pPr>
    </w:p>
    <w:p>
      <w:pPr>
        <w:ind w:left="600"/>
        <w:spacing w:after="0"/>
        <w:tabs>
          <w:tab w:leader="none" w:pos="1020" w:val="left"/>
        </w:tabs>
        <w:rPr>
          <w:rFonts w:ascii="Arial" w:cs="Arial" w:eastAsia="Arial" w:hAnsi="Arial"/>
          <w:sz w:val="17"/>
          <w:szCs w:val="17"/>
          <w:u w:val="single" w:color="auto"/>
          <w:color w:val="0000FF"/>
        </w:rPr>
      </w:pPr>
      <w:r>
        <w:rPr>
          <w:rFonts w:ascii="Arial" w:cs="Arial" w:eastAsia="Arial" w:hAnsi="Arial"/>
          <w:sz w:val="18"/>
          <w:szCs w:val="18"/>
          <w:color w:val="auto"/>
        </w:rPr>
        <w:t>3.2</w:t>
      </w:r>
      <w:r>
        <w:rPr>
          <w:sz w:val="20"/>
          <w:szCs w:val="20"/>
          <w:color w:val="auto"/>
        </w:rPr>
        <w:tab/>
      </w:r>
      <w:hyperlink r:id="rId40">
        <w:r>
          <w:rPr>
            <w:rFonts w:ascii="Arial" w:cs="Arial" w:eastAsia="Arial" w:hAnsi="Arial"/>
            <w:sz w:val="17"/>
            <w:szCs w:val="17"/>
            <w:u w:val="single" w:color="auto"/>
            <w:color w:val="0000FF"/>
          </w:rPr>
          <w:t xml:space="preserve">Amended and Restated By-Laws. </w:t>
        </w:r>
      </w:hyperlink>
      <w:r>
        <w:rPr>
          <w:rFonts w:ascii="Arial" w:cs="Arial" w:eastAsia="Arial" w:hAnsi="Arial"/>
          <w:sz w:val="17"/>
          <w:szCs w:val="17"/>
          <w:color w:val="000000"/>
        </w:rPr>
        <w:t>(2)</w:t>
      </w:r>
    </w:p>
    <w:p>
      <w:pPr>
        <w:spacing w:after="0" w:line="36" w:lineRule="exact"/>
        <w:rPr>
          <w:sz w:val="20"/>
          <w:szCs w:val="20"/>
          <w:color w:val="auto"/>
        </w:rPr>
      </w:pPr>
    </w:p>
    <w:p>
      <w:pPr>
        <w:ind w:left="500"/>
        <w:spacing w:after="0"/>
        <w:tabs>
          <w:tab w:leader="none" w:pos="10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7"/>
          <w:szCs w:val="17"/>
          <w:u w:val="single" w:color="auto"/>
          <w:color w:val="0000FF"/>
        </w:rPr>
        <w:t>Certification by Chief Executive Officer pursuant to Rule 13a-14(a) of the Exchange Act.</w:t>
      </w:r>
    </w:p>
    <w:p>
      <w:pPr>
        <w:spacing w:after="0" w:line="36" w:lineRule="exact"/>
        <w:rPr>
          <w:sz w:val="20"/>
          <w:szCs w:val="20"/>
          <w:color w:val="auto"/>
        </w:rPr>
      </w:pPr>
    </w:p>
    <w:p>
      <w:pPr>
        <w:ind w:left="500"/>
        <w:spacing w:after="0"/>
        <w:tabs>
          <w:tab w:leader="none" w:pos="10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u w:val="single" w:color="auto"/>
          <w:color w:val="0000FF"/>
        </w:rPr>
        <w:t>Certification by Chief Financial Officer pursuant to Rule 13a-14(a) of the Exchange Act.</w:t>
      </w:r>
    </w:p>
    <w:p>
      <w:pPr>
        <w:spacing w:after="0" w:line="36" w:lineRule="exact"/>
        <w:rPr>
          <w:sz w:val="20"/>
          <w:szCs w:val="20"/>
          <w:color w:val="auto"/>
        </w:rPr>
      </w:pPr>
    </w:p>
    <w:p>
      <w:pPr>
        <w:ind w:left="500"/>
        <w:spacing w:after="0"/>
        <w:tabs>
          <w:tab w:leader="none" w:pos="10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7"/>
          <w:szCs w:val="17"/>
          <w:u w:val="single" w:color="auto"/>
          <w:color w:val="0000FF"/>
        </w:rPr>
        <w:t>Section 1350 Certification by Chief Executive Officer.</w:t>
      </w:r>
    </w:p>
    <w:p>
      <w:pPr>
        <w:spacing w:after="0" w:line="36" w:lineRule="exact"/>
        <w:rPr>
          <w:sz w:val="20"/>
          <w:szCs w:val="20"/>
          <w:color w:val="auto"/>
        </w:rPr>
      </w:pPr>
    </w:p>
    <w:p>
      <w:pPr>
        <w:ind w:left="500"/>
        <w:spacing w:after="0"/>
        <w:tabs>
          <w:tab w:leader="none" w:pos="102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7"/>
          <w:szCs w:val="17"/>
          <w:u w:val="single" w:color="auto"/>
          <w:color w:val="0000FF"/>
        </w:rPr>
        <w:t>Section 1350 Certification by Chief Financial Officer.</w:t>
      </w:r>
    </w:p>
    <w:p>
      <w:pPr>
        <w:spacing w:after="0" w:line="36" w:lineRule="exact"/>
        <w:rPr>
          <w:sz w:val="20"/>
          <w:szCs w:val="20"/>
          <w:color w:val="auto"/>
        </w:rPr>
      </w:pPr>
    </w:p>
    <w:p>
      <w:pPr>
        <w:ind w:left="1040" w:right="380" w:hanging="491"/>
        <w:spacing w:after="0" w:line="214"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Financial statements from the Quarterly Report on Form 10-Q of Hawkins, Inc. for the period ended September 27, 2026 formatted in Inline Extensible Business Reporting Language (iXBRL); (i) the Condensed Consolidated Balance Sheets at September 27, 2026 and March 29, 2026, (ii) the Condensed Consolidated Statements of Income for the three and six months ended September 27, 2026 and September 28, 2025, (iii) the Condensed Consolidated Statements of Comprehensive Income for the three and six months ended September 27, 2026 and September 28, 2025, (iv) the Condensed Consolidated Statements of Shareholders' Equity for the three and six months ended September 27, 2026 and September 28, 2025, (v) the Condensed Consolidated Statements of Cash Flows for the six months ended September 27, 2026 and September 28, 2025, (vi) Notes to Condensed Consolidated Financial Statements and (vii) the information set forth in Part II, Item 5.</w:t>
      </w:r>
    </w:p>
    <w:p>
      <w:pPr>
        <w:spacing w:after="0" w:line="13" w:lineRule="exact"/>
        <w:rPr>
          <w:sz w:val="20"/>
          <w:szCs w:val="20"/>
          <w:color w:val="auto"/>
        </w:rPr>
      </w:pPr>
    </w:p>
    <w:p>
      <w:pPr>
        <w:ind w:left="1040" w:hanging="491"/>
        <w:spacing w:after="0"/>
        <w:tabs>
          <w:tab w:leader="none" w:pos="1040" w:val="left"/>
        </w:tabs>
        <w:numPr>
          <w:ilvl w:val="1"/>
          <w:numId w:val="6"/>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11" w:lineRule="exact"/>
        <w:rPr>
          <w:rFonts w:ascii="Arial" w:cs="Arial" w:eastAsia="Arial" w:hAnsi="Arial"/>
          <w:sz w:val="18"/>
          <w:szCs w:val="18"/>
          <w:color w:val="auto"/>
        </w:rPr>
      </w:pPr>
    </w:p>
    <w:p>
      <w:pPr>
        <w:ind w:left="600" w:hanging="349"/>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Incorporated by reference to Exhibit 3.2 to our Current Report on Form 8-K filed March 2, 2021.</w:t>
      </w:r>
    </w:p>
    <w:p>
      <w:pPr>
        <w:spacing w:after="0" w:line="117" w:lineRule="exact"/>
        <w:rPr>
          <w:rFonts w:ascii="Arial" w:cs="Arial" w:eastAsia="Arial" w:hAnsi="Arial"/>
          <w:sz w:val="18"/>
          <w:szCs w:val="18"/>
          <w:color w:val="auto"/>
        </w:rPr>
      </w:pPr>
    </w:p>
    <w:p>
      <w:pPr>
        <w:ind w:left="600" w:hanging="349"/>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Incorporated by reference to Exhibit 3.1 to our Current Report on Form 8-K filed November 3, 2009.</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Method of Filing</w:t>
      </w:r>
    </w:p>
    <w:p>
      <w:pPr>
        <w:spacing w:after="0" w:line="36" w:lineRule="exact"/>
        <w:rPr>
          <w:sz w:val="20"/>
          <w:szCs w:val="20"/>
          <w:color w:val="auto"/>
        </w:rPr>
      </w:pPr>
    </w:p>
    <w:p>
      <w:pPr>
        <w:jc w:val="center"/>
        <w:spacing w:after="0" w:line="298" w:lineRule="auto"/>
        <w:rPr>
          <w:sz w:val="20"/>
          <w:szCs w:val="20"/>
          <w:color w:val="auto"/>
        </w:rPr>
      </w:pPr>
      <w:r>
        <w:rPr>
          <w:rFonts w:ascii="Arial" w:cs="Arial" w:eastAsia="Arial" w:hAnsi="Arial"/>
          <w:sz w:val="17"/>
          <w:szCs w:val="17"/>
          <w:color w:val="auto"/>
        </w:rPr>
        <w:t>Incorporated by Reference Incorporated by Reference Filed Electronically Filed Electronically</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Filed Electronically</w:t>
      </w:r>
    </w:p>
    <w:p>
      <w:pPr>
        <w:spacing w:after="0" w:line="3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Filed Electronically</w:t>
      </w:r>
    </w:p>
    <w:p>
      <w:pPr>
        <w:spacing w:after="0" w:line="3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Filed Electronically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Filed Electronically</w:t>
      </w:r>
    </w:p>
    <w:p>
      <w:pPr>
        <w:sectPr>
          <w:pgSz w:w="11900" w:h="16838" w:orient="portrait"/>
          <w:cols w:equalWidth="0" w:num="2">
            <w:col w:w="8500" w:space="140"/>
            <w:col w:w="2120"/>
          </w:cols>
          <w:pgMar w:left="320" w:top="607" w:right="819" w:bottom="1440" w:gutter="0" w:footer="0" w:header="0"/>
        </w:sectPr>
      </w:pPr>
    </w:p>
    <w:bookmarkStart w:id="26" w:name="page27"/>
    <w:bookmarkEnd w:id="26"/>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9" w:lineRule="exact"/>
        <w:rPr>
          <w:sz w:val="20"/>
          <w:szCs w:val="20"/>
          <w:color w:val="auto"/>
        </w:rPr>
      </w:pPr>
    </w:p>
    <w:p>
      <w:pPr>
        <w:ind w:left="80"/>
        <w:spacing w:after="0"/>
        <w:rPr>
          <w:sz w:val="20"/>
          <w:szCs w:val="20"/>
          <w:color w:val="auto"/>
        </w:rPr>
      </w:pPr>
      <w:r>
        <w:rPr>
          <w:rFonts w:ascii="Arial" w:cs="Arial" w:eastAsia="Arial" w:hAnsi="Arial"/>
          <w:sz w:val="18"/>
          <w:szCs w:val="18"/>
          <w:color w:val="auto"/>
        </w:rPr>
        <w:t>HAWKINS, INC.</w:t>
      </w:r>
    </w:p>
    <w:p>
      <w:pPr>
        <w:spacing w:after="0" w:line="90" w:lineRule="exact"/>
        <w:rPr>
          <w:sz w:val="20"/>
          <w:szCs w:val="20"/>
          <w:color w:val="auto"/>
        </w:rPr>
      </w:pPr>
    </w:p>
    <w:p>
      <w:pPr>
        <w:ind w:left="80"/>
        <w:spacing w:after="0"/>
        <w:tabs>
          <w:tab w:leader="none" w:pos="2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Jeffrey P. Oldenkamp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17780</wp:posOffset>
            </wp:positionV>
            <wp:extent cx="32232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30"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Jeffrey P. Oldenkamp</w:t>
      </w:r>
    </w:p>
    <w:p>
      <w:pPr>
        <w:spacing w:after="0" w:line="36"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(On behalf of the registrant as a duly authorized officer and as</w:t>
      </w:r>
    </w:p>
    <w:p>
      <w:pPr>
        <w:ind w:left="1800"/>
        <w:spacing w:after="0"/>
        <w:rPr>
          <w:sz w:val="20"/>
          <w:szCs w:val="20"/>
          <w:color w:val="auto"/>
        </w:rPr>
      </w:pPr>
      <w:r>
        <w:rPr>
          <w:rFonts w:ascii="Arial" w:cs="Arial" w:eastAsia="Arial" w:hAnsi="Arial"/>
          <w:sz w:val="18"/>
          <w:szCs w:val="18"/>
          <w:color w:val="auto"/>
        </w:rPr>
        <w:t>principal financial and accounting officer)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26, 2026</w:t>
      </w:r>
    </w:p>
    <w:p>
      <w:pPr>
        <w:sectPr>
          <w:pgSz w:w="11900" w:h="16838" w:orient="portrait"/>
          <w:cols w:equalWidth="0" w:num="1">
            <w:col w:w="11120"/>
          </w:cols>
          <w:pgMar w:left="320" w:top="607" w:right="45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 Patrick H. Hawkins, certify that:</w:t>
      </w:r>
    </w:p>
    <w:p>
      <w:pPr>
        <w:spacing w:after="0" w:line="333"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103" w:lineRule="exact"/>
        <w:rPr>
          <w:rFonts w:ascii="Arial" w:cs="Arial" w:eastAsia="Arial" w:hAnsi="Arial"/>
          <w:sz w:val="18"/>
          <w:szCs w:val="18"/>
          <w:color w:val="auto"/>
        </w:rPr>
      </w:pPr>
    </w:p>
    <w:p>
      <w:pPr>
        <w:ind w:left="660" w:right="80" w:hanging="328"/>
        <w:spacing w:after="0" w:line="268" w:lineRule="auto"/>
        <w:tabs>
          <w:tab w:leader="none" w:pos="661"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rFonts w:ascii="Arial" w:cs="Arial" w:eastAsia="Arial" w:hAnsi="Arial"/>
          <w:sz w:val="18"/>
          <w:szCs w:val="18"/>
          <w:color w:val="auto"/>
        </w:rPr>
      </w:pPr>
    </w:p>
    <w:p>
      <w:pPr>
        <w:ind w:left="660" w:right="120" w:hanging="328"/>
        <w:spacing w:after="0" w:line="268" w:lineRule="auto"/>
        <w:tabs>
          <w:tab w:leader="none" w:pos="661"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ind w:left="660" w:right="120" w:hanging="328"/>
        <w:spacing w:after="0" w:line="268" w:lineRule="auto"/>
        <w:tabs>
          <w:tab w:leader="none" w:pos="661"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8"/>
          <w:szCs w:val="18"/>
          <w:color w:val="auto"/>
        </w:rPr>
      </w:pPr>
    </w:p>
    <w:p>
      <w:pPr>
        <w:ind w:left="1300" w:right="20" w:hanging="320"/>
        <w:spacing w:after="0" w:line="268" w:lineRule="auto"/>
        <w:tabs>
          <w:tab w:leader="none" w:pos="1311"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Arial" w:cs="Arial" w:eastAsia="Arial" w:hAnsi="Arial"/>
          <w:sz w:val="18"/>
          <w:szCs w:val="18"/>
          <w:color w:val="auto"/>
        </w:rPr>
      </w:pPr>
    </w:p>
    <w:p>
      <w:pPr>
        <w:ind w:left="1300" w:right="20" w:hanging="320"/>
        <w:spacing w:after="0" w:line="268" w:lineRule="auto"/>
        <w:tabs>
          <w:tab w:leader="none" w:pos="1298"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8"/>
          <w:szCs w:val="18"/>
          <w:color w:val="auto"/>
        </w:rPr>
      </w:pPr>
    </w:p>
    <w:p>
      <w:pPr>
        <w:ind w:left="1300" w:right="300" w:hanging="320"/>
        <w:spacing w:after="0" w:line="268" w:lineRule="auto"/>
        <w:tabs>
          <w:tab w:leader="none" w:pos="1315"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9" w:lineRule="exact"/>
        <w:rPr>
          <w:rFonts w:ascii="Arial" w:cs="Arial" w:eastAsia="Arial" w:hAnsi="Arial"/>
          <w:sz w:val="18"/>
          <w:szCs w:val="18"/>
          <w:color w:val="auto"/>
        </w:rPr>
      </w:pPr>
    </w:p>
    <w:p>
      <w:pPr>
        <w:ind w:left="1300" w:right="60" w:hanging="320"/>
        <w:spacing w:after="0" w:line="268" w:lineRule="auto"/>
        <w:tabs>
          <w:tab w:leader="none" w:pos="1298"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8"/>
          <w:szCs w:val="18"/>
          <w:color w:val="auto"/>
        </w:rPr>
      </w:pPr>
    </w:p>
    <w:p>
      <w:pPr>
        <w:ind w:left="660" w:right="340" w:hanging="328"/>
        <w:spacing w:after="0" w:line="268" w:lineRule="auto"/>
        <w:tabs>
          <w:tab w:leader="none" w:pos="661"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rFonts w:ascii="Arial" w:cs="Arial" w:eastAsia="Arial" w:hAnsi="Arial"/>
          <w:sz w:val="18"/>
          <w:szCs w:val="18"/>
          <w:color w:val="auto"/>
        </w:rPr>
      </w:pPr>
    </w:p>
    <w:p>
      <w:pPr>
        <w:jc w:val="both"/>
        <w:ind w:left="1300" w:right="440" w:hanging="320"/>
        <w:spacing w:after="0" w:line="268" w:lineRule="auto"/>
        <w:tabs>
          <w:tab w:leader="none" w:pos="1311"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9" w:lineRule="exact"/>
        <w:rPr>
          <w:rFonts w:ascii="Arial" w:cs="Arial" w:eastAsia="Arial" w:hAnsi="Arial"/>
          <w:sz w:val="18"/>
          <w:szCs w:val="18"/>
          <w:color w:val="auto"/>
        </w:rPr>
      </w:pPr>
    </w:p>
    <w:p>
      <w:pPr>
        <w:ind w:left="1300" w:right="800" w:hanging="320"/>
        <w:spacing w:after="0" w:line="287" w:lineRule="auto"/>
        <w:tabs>
          <w:tab w:leader="none" w:pos="1298"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2026</w:t>
      </w:r>
    </w:p>
    <w:p>
      <w:pPr>
        <w:spacing w:after="0" w:line="25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Patrick H.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17780</wp:posOffset>
            </wp:positionV>
            <wp:extent cx="342074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3420745" cy="8255"/>
                    </a:xfrm>
                    <a:prstGeom prst="rect">
                      <a:avLst/>
                    </a:prstGeom>
                    <a:noFill/>
                  </pic:spPr>
                </pic:pic>
              </a:graphicData>
            </a:graphic>
          </wp:anchor>
        </w:drawing>
      </w:r>
    </w:p>
    <w:p>
      <w:pPr>
        <w:spacing w:after="0" w:line="3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Patrick H. Hawkins</w:t>
      </w:r>
    </w:p>
    <w:p>
      <w:pPr>
        <w:spacing w:after="0" w:line="3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240"/>
          </w:cols>
          <w:pgMar w:left="320" w:top="890"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 Jeffrey P. Oldenkamp, certify that:</w:t>
      </w:r>
    </w:p>
    <w:p>
      <w:pPr>
        <w:spacing w:after="0" w:line="33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103" w:lineRule="exact"/>
        <w:rPr>
          <w:rFonts w:ascii="Arial" w:cs="Arial" w:eastAsia="Arial" w:hAnsi="Arial"/>
          <w:sz w:val="18"/>
          <w:szCs w:val="18"/>
          <w:color w:val="auto"/>
        </w:rPr>
      </w:pPr>
    </w:p>
    <w:p>
      <w:pPr>
        <w:ind w:left="660" w:right="80" w:hanging="328"/>
        <w:spacing w:after="0" w:line="268" w:lineRule="auto"/>
        <w:tabs>
          <w:tab w:leader="none" w:pos="661"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rFonts w:ascii="Arial" w:cs="Arial" w:eastAsia="Arial" w:hAnsi="Arial"/>
          <w:sz w:val="18"/>
          <w:szCs w:val="18"/>
          <w:color w:val="auto"/>
        </w:rPr>
      </w:pPr>
    </w:p>
    <w:p>
      <w:pPr>
        <w:ind w:left="660" w:right="120" w:hanging="328"/>
        <w:spacing w:after="0" w:line="268" w:lineRule="auto"/>
        <w:tabs>
          <w:tab w:leader="none" w:pos="661"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ind w:left="660" w:right="120" w:hanging="328"/>
        <w:spacing w:after="0" w:line="268" w:lineRule="auto"/>
        <w:tabs>
          <w:tab w:leader="none" w:pos="661"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 w:lineRule="exact"/>
        <w:rPr>
          <w:rFonts w:ascii="Arial" w:cs="Arial" w:eastAsia="Arial" w:hAnsi="Arial"/>
          <w:sz w:val="18"/>
          <w:szCs w:val="18"/>
          <w:color w:val="auto"/>
        </w:rPr>
      </w:pPr>
    </w:p>
    <w:p>
      <w:pPr>
        <w:ind w:left="1300" w:right="20" w:hanging="644"/>
        <w:spacing w:after="0" w:line="268" w:lineRule="auto"/>
        <w:tabs>
          <w:tab w:leader="none" w:pos="1311"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 w:lineRule="exact"/>
        <w:rPr>
          <w:rFonts w:ascii="Arial" w:cs="Arial" w:eastAsia="Arial" w:hAnsi="Arial"/>
          <w:sz w:val="18"/>
          <w:szCs w:val="18"/>
          <w:color w:val="auto"/>
        </w:rPr>
      </w:pPr>
    </w:p>
    <w:p>
      <w:pPr>
        <w:ind w:left="1300" w:right="20" w:hanging="644"/>
        <w:spacing w:after="0" w:line="268" w:lineRule="auto"/>
        <w:tabs>
          <w:tab w:leader="none" w:pos="1298"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 w:lineRule="exact"/>
        <w:rPr>
          <w:rFonts w:ascii="Arial" w:cs="Arial" w:eastAsia="Arial" w:hAnsi="Arial"/>
          <w:sz w:val="18"/>
          <w:szCs w:val="18"/>
          <w:color w:val="auto"/>
        </w:rPr>
      </w:pPr>
    </w:p>
    <w:p>
      <w:pPr>
        <w:ind w:left="1300" w:right="300" w:hanging="644"/>
        <w:spacing w:after="0" w:line="268" w:lineRule="auto"/>
        <w:tabs>
          <w:tab w:leader="none" w:pos="1315"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 w:lineRule="exact"/>
        <w:rPr>
          <w:rFonts w:ascii="Arial" w:cs="Arial" w:eastAsia="Arial" w:hAnsi="Arial"/>
          <w:sz w:val="18"/>
          <w:szCs w:val="18"/>
          <w:color w:val="auto"/>
        </w:rPr>
      </w:pPr>
    </w:p>
    <w:p>
      <w:pPr>
        <w:ind w:left="1300" w:right="60" w:hanging="644"/>
        <w:spacing w:after="0" w:line="268" w:lineRule="auto"/>
        <w:tabs>
          <w:tab w:leader="none" w:pos="1298"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8"/>
          <w:szCs w:val="18"/>
          <w:color w:val="auto"/>
        </w:rPr>
      </w:pPr>
    </w:p>
    <w:p>
      <w:pPr>
        <w:ind w:left="660" w:right="340" w:hanging="328"/>
        <w:spacing w:after="0" w:line="268" w:lineRule="auto"/>
        <w:tabs>
          <w:tab w:leader="none" w:pos="661"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 w:lineRule="exact"/>
        <w:rPr>
          <w:rFonts w:ascii="Arial" w:cs="Arial" w:eastAsia="Arial" w:hAnsi="Arial"/>
          <w:sz w:val="18"/>
          <w:szCs w:val="18"/>
          <w:color w:val="auto"/>
        </w:rPr>
      </w:pPr>
    </w:p>
    <w:p>
      <w:pPr>
        <w:jc w:val="both"/>
        <w:ind w:left="1300" w:right="440" w:hanging="644"/>
        <w:spacing w:after="0" w:line="268" w:lineRule="auto"/>
        <w:tabs>
          <w:tab w:leader="none" w:pos="1311"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1300" w:right="800" w:hanging="644"/>
        <w:spacing w:after="0" w:line="287" w:lineRule="auto"/>
        <w:tabs>
          <w:tab w:leader="none" w:pos="1298"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2026</w:t>
      </w:r>
    </w:p>
    <w:p>
      <w:pPr>
        <w:spacing w:after="0" w:line="252"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 Jeffrey P. Oldenkamp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17780</wp:posOffset>
            </wp:positionV>
            <wp:extent cx="33261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30"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Jeffrey P. Oldenkamp</w:t>
      </w:r>
    </w:p>
    <w:p>
      <w:pPr>
        <w:spacing w:after="0" w:line="3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90"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September 27, 2026, as filed with the Securities and Exchange Commission on the date hereof (the Report), I, Patrick H. Hawkins, Chief Executive Officer and President of the Company, certify, pursuant to 18 U.S.C. § 1350, as adopted pursuant to § 906 of the Sarbanes-Oxley Act of 2002, that:</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right="240" w:firstLine="453"/>
        <w:spacing w:after="0" w:line="287" w:lineRule="auto"/>
        <w:tabs>
          <w:tab w:leader="none" w:pos="7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3"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Patrick H.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17780</wp:posOffset>
            </wp:positionV>
            <wp:extent cx="25888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0" w:lineRule="exact"/>
        <w:rPr>
          <w:sz w:val="20"/>
          <w:szCs w:val="20"/>
          <w:color w:val="auto"/>
        </w:rPr>
      </w:pPr>
    </w:p>
    <w:p>
      <w:pPr>
        <w:ind w:left="80"/>
        <w:spacing w:after="0"/>
        <w:rPr>
          <w:sz w:val="20"/>
          <w:szCs w:val="20"/>
          <w:color w:val="auto"/>
        </w:rPr>
      </w:pPr>
      <w:r>
        <w:rPr>
          <w:rFonts w:ascii="Arial" w:cs="Arial" w:eastAsia="Arial" w:hAnsi="Arial"/>
          <w:sz w:val="18"/>
          <w:szCs w:val="18"/>
          <w:color w:val="auto"/>
        </w:rPr>
        <w:t>Patrick H. Hawkins</w:t>
      </w:r>
    </w:p>
    <w:p>
      <w:pPr>
        <w:spacing w:after="0" w:line="36" w:lineRule="exact"/>
        <w:rPr>
          <w:sz w:val="20"/>
          <w:szCs w:val="20"/>
          <w:color w:val="auto"/>
        </w:rPr>
      </w:pPr>
    </w:p>
    <w:p>
      <w:pPr>
        <w:ind w:left="80"/>
        <w:spacing w:after="0"/>
        <w:rPr>
          <w:sz w:val="20"/>
          <w:szCs w:val="20"/>
          <w:color w:val="auto"/>
        </w:rPr>
      </w:pPr>
      <w:r>
        <w:rPr>
          <w:rFonts w:ascii="Arial" w:cs="Arial" w:eastAsia="Arial" w:hAnsi="Arial"/>
          <w:sz w:val="18"/>
          <w:szCs w:val="18"/>
          <w:color w:val="auto"/>
        </w:rPr>
        <w:t>Chief Executive Officer and President</w:t>
      </w:r>
    </w:p>
    <w:p>
      <w:pPr>
        <w:spacing w:after="0" w:line="36" w:lineRule="exact"/>
        <w:rPr>
          <w:sz w:val="20"/>
          <w:szCs w:val="20"/>
          <w:color w:val="auto"/>
        </w:rPr>
      </w:pPr>
    </w:p>
    <w:p>
      <w:pPr>
        <w:ind w:left="80"/>
        <w:spacing w:after="0"/>
        <w:rPr>
          <w:sz w:val="20"/>
          <w:szCs w:val="20"/>
          <w:color w:val="auto"/>
        </w:rPr>
      </w:pPr>
      <w:r>
        <w:rPr>
          <w:rFonts w:ascii="Arial" w:cs="Arial" w:eastAsia="Arial" w:hAnsi="Arial"/>
          <w:sz w:val="18"/>
          <w:szCs w:val="18"/>
          <w:color w:val="auto"/>
        </w:rPr>
        <w:t>October 26, 2026</w:t>
      </w:r>
    </w:p>
    <w:p>
      <w:pPr>
        <w:sectPr>
          <w:pgSz w:w="11900" w:h="16838" w:orient="portrait"/>
          <w:cols w:equalWidth="0" w:num="1">
            <w:col w:w="11240"/>
          </w:cols>
          <w:pgMar w:left="320" w:top="890"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September 27, 2026, as filed with the Securities and Exchange Commission on the date hereof (the Report), I, Jeffrey P. Oldenkamp, Chief Financial Officer of the Company, certify, pursuant to 18 U.S.C. § 1350, as adopted pursuant to § 906 of the Sarbanes-Oxley Act of 2002, that:</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right="240" w:firstLine="453"/>
        <w:spacing w:after="0" w:line="287" w:lineRule="auto"/>
        <w:tabs>
          <w:tab w:leader="none" w:pos="7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3"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Jeffrey P. Oldenkamp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17780</wp:posOffset>
            </wp:positionV>
            <wp:extent cx="325755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30" w:lineRule="exact"/>
        <w:rPr>
          <w:sz w:val="20"/>
          <w:szCs w:val="20"/>
          <w:color w:val="auto"/>
        </w:rPr>
      </w:pPr>
    </w:p>
    <w:p>
      <w:pPr>
        <w:ind w:left="80"/>
        <w:spacing w:after="0"/>
        <w:rPr>
          <w:sz w:val="20"/>
          <w:szCs w:val="20"/>
          <w:color w:val="auto"/>
        </w:rPr>
      </w:pPr>
      <w:r>
        <w:rPr>
          <w:rFonts w:ascii="Arial" w:cs="Arial" w:eastAsia="Arial" w:hAnsi="Arial"/>
          <w:sz w:val="18"/>
          <w:szCs w:val="18"/>
          <w:color w:val="auto"/>
        </w:rPr>
        <w:t>Jeffrey P. Oldenkamp</w:t>
      </w:r>
    </w:p>
    <w:p>
      <w:pPr>
        <w:spacing w:after="0" w:line="36" w:lineRule="exact"/>
        <w:rPr>
          <w:sz w:val="20"/>
          <w:szCs w:val="20"/>
          <w:color w:val="auto"/>
        </w:rPr>
      </w:pPr>
    </w:p>
    <w:p>
      <w:pPr>
        <w:ind w:left="80"/>
        <w:spacing w:after="0"/>
        <w:rPr>
          <w:sz w:val="20"/>
          <w:szCs w:val="20"/>
          <w:color w:val="auto"/>
        </w:rPr>
      </w:pPr>
      <w:r>
        <w:rPr>
          <w:rFonts w:ascii="Arial" w:cs="Arial" w:eastAsia="Arial" w:hAnsi="Arial"/>
          <w:sz w:val="18"/>
          <w:szCs w:val="18"/>
          <w:color w:val="auto"/>
        </w:rPr>
        <w:t>Executive Vice President and Chief Financial Officer</w:t>
      </w:r>
    </w:p>
    <w:p>
      <w:pPr>
        <w:spacing w:after="0" w:line="36" w:lineRule="exact"/>
        <w:rPr>
          <w:sz w:val="20"/>
          <w:szCs w:val="20"/>
          <w:color w:val="auto"/>
        </w:rPr>
      </w:pPr>
    </w:p>
    <w:p>
      <w:pPr>
        <w:ind w:left="80"/>
        <w:spacing w:after="0"/>
        <w:rPr>
          <w:sz w:val="20"/>
          <w:szCs w:val="20"/>
          <w:color w:val="auto"/>
        </w:rPr>
      </w:pPr>
      <w:r>
        <w:rPr>
          <w:rFonts w:ascii="Arial" w:cs="Arial" w:eastAsia="Arial" w:hAnsi="Arial"/>
          <w:sz w:val="18"/>
          <w:szCs w:val="18"/>
          <w:color w:val="auto"/>
        </w:rPr>
        <w:t>October 26, 2026</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decimal"/>
      <w:start w:val="101"/>
    </w:lvl>
  </w:abstractNum>
  <w:abstractNum w:abstractNumId="5">
    <w:nsid w:val="515F007C"/>
    <w:multiLevelType w:val="hybridMultilevel"/>
    <w:lvl w:ilvl="0">
      <w:lvlJc w:val="left"/>
      <w:lvlText w:val="%1"/>
      <w:numFmt w:val="decimal"/>
      <w:start w:val="1"/>
    </w:lvl>
    <w:lvl w:ilvl="1">
      <w:lvlJc w:val="left"/>
      <w:lvlText w:val="%2"/>
      <w:numFmt w:val="decimal"/>
      <w:start w:val="104"/>
    </w:lvl>
  </w:abstractNum>
  <w:abstractNum w:abstractNumId="6">
    <w:nsid w:val="5BD062C2"/>
    <w:multiLevelType w:val="hybridMultilevel"/>
    <w:lvl w:ilvl="0">
      <w:lvlJc w:val="left"/>
      <w:lvlText w:val="(%1)"/>
      <w:numFmt w:val="decimal"/>
      <w:start w:val="1"/>
    </w:lvl>
    <w:lvl w:ilvl="1">
      <w:lvlJc w:val="left"/>
      <w:lvlText w:val="%2"/>
      <w:numFmt w:val="decimal"/>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2"/>
    </w:lvl>
  </w:abstractNum>
  <w:abstractNum w:abstractNumId="10">
    <w:nsid w:val="1F16E9E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8"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19" Type="http://schemas.openxmlformats.org/officeDocument/2006/relationships/hyperlink" Target="https://www.sec.gov/ix?doc=/Archives/edgar/data/0000046250/000004625026000018/hwkn-20260329.htm" TargetMode="External"/><Relationship Id="rId37" Type="http://schemas.openxmlformats.org/officeDocument/2006/relationships/hyperlink" Target="https://www.sec.gov/ix?doc=/Archives/edgar/data/46250/000004625026000018/hwkn-20260329.htm" TargetMode="External"/><Relationship Id="rId39" Type="http://schemas.openxmlformats.org/officeDocument/2006/relationships/hyperlink" Target="https://www.sec.gov/Archives/edgar/data/46250/000004625021000012/exhibit32.htm" TargetMode="External"/><Relationship Id="rId40" Type="http://schemas.openxmlformats.org/officeDocument/2006/relationships/hyperlink" Target="https://www.sec.gov/Archives/edgar/data/46250/000089710109002205/hawkins095018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2026-10-26T15:21:53Z</dcterms:created>
  <dcterms:modified xsi:type="dcterms:W3CDTF">2026-10-26T15:21:53Z</dcterms:modified>
</cp:coreProperties>
</file>