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26, 2026</w:t>
      </w:r>
    </w:p>
    <w:p>
      <w:pPr>
        <w:spacing w:after="0" w:line="3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41" w:right="339" w:bottom="1440" w:gutter="0" w:footer="0" w:header="0"/>
        </w:sectPr>
      </w:pPr>
    </w:p>
    <w:p>
      <w:pPr>
        <w:spacing w:after="0" w:line="45"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57" w:lineRule="exact"/>
        <w:rPr>
          <w:sz w:val="24"/>
          <w:szCs w:val="24"/>
          <w:color w:val="auto"/>
        </w:rPr>
      </w:pPr>
    </w:p>
    <w:p>
      <w:pPr>
        <w:sectPr>
          <w:pgSz w:w="11900" w:h="16838" w:orient="portrait"/>
          <w:cols w:equalWidth="0" w:num="3">
            <w:col w:w="4520" w:space="720"/>
            <w:col w:w="2800" w:space="720"/>
            <w:col w:w="2480"/>
          </w:cols>
          <w:pgMar w:left="320" w:top="1041" w:right="339" w:bottom="1440" w:gutter="0" w:footer="0" w:header="0"/>
          <w:type w:val="continuous"/>
        </w:sectPr>
      </w:pPr>
    </w:p>
    <w:p>
      <w:pPr>
        <w:ind w:left="8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880" w:space="720"/>
            <w:col w:w="2800" w:space="720"/>
            <w:col w:w="3120"/>
          </w:cols>
          <w:pgMar w:left="320" w:top="1041" w:right="339" w:bottom="1440" w:gutter="0" w:footer="0" w:header="0"/>
          <w:type w:val="continuous"/>
        </w:sectPr>
      </w:pPr>
    </w:p>
    <w:p>
      <w:pPr>
        <w:spacing w:after="0" w:line="21" w:lineRule="exact"/>
        <w:rPr>
          <w:sz w:val="24"/>
          <w:szCs w:val="24"/>
          <w:color w:val="auto"/>
        </w:rPr>
      </w:pPr>
    </w:p>
    <w:p>
      <w:pPr>
        <w:ind w:left="700"/>
        <w:spacing w:after="0"/>
        <w:tabs>
          <w:tab w:leader="none" w:pos="3100" w:val="left"/>
        </w:tabs>
        <w:rPr>
          <w:sz w:val="20"/>
          <w:szCs w:val="20"/>
          <w:color w:val="auto"/>
        </w:rPr>
      </w:pPr>
      <w:r>
        <w:rPr>
          <w:rFonts w:ascii="Arial" w:cs="Arial" w:eastAsia="Arial" w:hAnsi="Arial"/>
          <w:sz w:val="18"/>
          <w:szCs w:val="18"/>
          <w:b w:val="1"/>
          <w:bCs w:val="1"/>
          <w:color w:val="auto"/>
        </w:rPr>
        <w:t>2381 Rosegate, Roseville,</w:t>
        <w:tab/>
        <w:t>Minnesota</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55113</w:t>
      </w:r>
    </w:p>
    <w:p>
      <w:pPr>
        <w:spacing w:after="0" w:line="57" w:lineRule="exact"/>
        <w:rPr>
          <w:sz w:val="24"/>
          <w:szCs w:val="24"/>
          <w:color w:val="auto"/>
        </w:rPr>
      </w:pPr>
    </w:p>
    <w:p>
      <w:pPr>
        <w:sectPr>
          <w:pgSz w:w="11900" w:h="16838" w:orient="portrait"/>
          <w:cols w:equalWidth="0" w:num="2">
            <w:col w:w="8580" w:space="720"/>
            <w:col w:w="1940"/>
          </w:cols>
          <w:pgMar w:left="320" w:top="1041" w:right="339" w:bottom="1440" w:gutter="0" w:footer="0" w:header="0"/>
          <w:type w:val="continuous"/>
        </w:sectPr>
      </w:pPr>
    </w:p>
    <w:p>
      <w:pPr>
        <w:ind w:left="10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480" w:space="720"/>
            <w:col w:w="2040"/>
          </w:cols>
          <w:pgMar w:left="320" w:top="1041" w:right="339" w:bottom="1440" w:gutter="0" w:footer="0" w:header="0"/>
          <w:type w:val="continuous"/>
        </w:sect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33" w:lineRule="exact"/>
        <w:rPr>
          <w:sz w:val="24"/>
          <w:szCs w:val="24"/>
          <w:color w:val="auto"/>
        </w:rPr>
      </w:pPr>
    </w:p>
    <w:p>
      <w:pPr>
        <w:ind w:right="220" w:firstLine="445"/>
        <w:spacing w:after="0" w:line="26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800" w:type="dxa"/>
            <w:vAlign w:val="bottom"/>
          </w:tcPr>
          <w:p>
            <w:pPr>
              <w:ind w:left="1040"/>
              <w:spacing w:after="0"/>
              <w:rPr>
                <w:sz w:val="20"/>
                <w:szCs w:val="20"/>
                <w:color w:val="auto"/>
              </w:rPr>
            </w:pPr>
            <w:r>
              <w:rPr>
                <w:rFonts w:ascii="Arial" w:cs="Arial" w:eastAsia="Arial" w:hAnsi="Arial"/>
                <w:sz w:val="16"/>
                <w:szCs w:val="16"/>
                <w:b w:val="1"/>
                <w:bCs w:val="1"/>
                <w:color w:val="auto"/>
              </w:rPr>
              <w:t>Title of each class</w:t>
            </w:r>
          </w:p>
        </w:tc>
        <w:tc>
          <w:tcPr>
            <w:tcW w:w="2900" w:type="dxa"/>
            <w:vAlign w:val="bottom"/>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20" w:type="dxa"/>
            <w:vAlign w:val="bottom"/>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
        </w:trPr>
        <w:tc>
          <w:tcPr>
            <w:tcW w:w="38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r>
      <w:tr>
        <w:trPr>
          <w:trHeight w:val="221"/>
        </w:trPr>
        <w:tc>
          <w:tcPr>
            <w:tcW w:w="38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0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20" w:type="dxa"/>
            <w:vAlign w:val="bottom"/>
          </w:tcPr>
          <w:p>
            <w:pPr>
              <w:jc w:val="center"/>
              <w:ind w:left="379"/>
              <w:spacing w:after="0"/>
              <w:rPr>
                <w:sz w:val="20"/>
                <w:szCs w:val="20"/>
                <w:color w:val="auto"/>
              </w:rPr>
            </w:pPr>
            <w:r>
              <w:rPr>
                <w:rFonts w:ascii="Arial" w:cs="Arial" w:eastAsia="Arial" w:hAnsi="Arial"/>
                <w:sz w:val="16"/>
                <w:szCs w:val="16"/>
                <w:color w:val="auto"/>
              </w:rPr>
              <w:t>The Nasdaq Stock Market LLC</w:t>
            </w:r>
          </w:p>
        </w:tc>
      </w:tr>
    </w:tbl>
    <w:p>
      <w:pPr>
        <w:spacing w:after="0" w:line="348"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40" w:lineRule="exact"/>
        <w:rPr>
          <w:sz w:val="24"/>
          <w:szCs w:val="24"/>
          <w:color w:val="auto"/>
        </w:rPr>
      </w:pPr>
    </w:p>
    <w:p>
      <w:pPr>
        <w:ind w:left="876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84"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4" w:lineRule="exact"/>
        <w:rPr>
          <w:sz w:val="20"/>
          <w:szCs w:val="20"/>
          <w:color w:val="auto"/>
        </w:rPr>
      </w:pPr>
    </w:p>
    <w:p>
      <w:pPr>
        <w:ind w:right="260" w:firstLine="405"/>
        <w:spacing w:after="0" w:line="268" w:lineRule="auto"/>
        <w:rPr>
          <w:sz w:val="20"/>
          <w:szCs w:val="20"/>
          <w:color w:val="auto"/>
        </w:rPr>
      </w:pPr>
      <w:r>
        <w:rPr>
          <w:rFonts w:ascii="Arial" w:cs="Arial" w:eastAsia="Arial" w:hAnsi="Arial"/>
          <w:sz w:val="18"/>
          <w:szCs w:val="18"/>
          <w:color w:val="auto"/>
        </w:rPr>
        <w:t>On October 26, 2026, Hawkins, Inc. issued a press release announcing financial results for its fiscal 2027 second quarter ended September 27, 2026. A copy of the press release issued by the Registrant is furnished herewith as Exhibit 99.1 hereto and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Exhibit No.</w:t>
            </w:r>
          </w:p>
        </w:tc>
        <w:tc>
          <w:tcPr>
            <w:tcW w:w="500" w:type="dxa"/>
            <w:vAlign w:val="bottom"/>
          </w:tcPr>
          <w:p>
            <w:pPr>
              <w:spacing w:after="0"/>
              <w:rPr>
                <w:sz w:val="16"/>
                <w:szCs w:val="16"/>
                <w:color w:val="auto"/>
              </w:rPr>
            </w:pP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46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Method of Filing</w:t>
            </w:r>
          </w:p>
        </w:tc>
        <w:tc>
          <w:tcPr>
            <w:tcW w:w="20" w:type="dxa"/>
            <w:vAlign w:val="bottom"/>
          </w:tcPr>
          <w:p>
            <w:pPr>
              <w:spacing w:after="0"/>
              <w:rPr>
                <w:sz w:val="16"/>
                <w:szCs w:val="16"/>
                <w:color w:val="auto"/>
              </w:rPr>
            </w:pPr>
          </w:p>
        </w:tc>
      </w:tr>
      <w:tr>
        <w:trPr>
          <w:trHeight w:val="234"/>
        </w:trPr>
        <w:tc>
          <w:tcPr>
            <w:tcW w:w="1640" w:type="dxa"/>
            <w:vAlign w:val="bottom"/>
            <w:gridSpan w:val="2"/>
          </w:tcPr>
          <w:p>
            <w:pPr>
              <w:ind w:left="1280"/>
              <w:spacing w:after="0"/>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Press Release, dated October 26, 2026, announcing financial results of Hawkins, Inc.</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212"/>
        </w:trPr>
        <w:tc>
          <w:tcPr>
            <w:tcW w:w="128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for its fiscal 2027 second quarter ended September 27, 2026.</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1"/>
        </w:trPr>
        <w:tc>
          <w:tcPr>
            <w:tcW w:w="1640" w:type="dxa"/>
            <w:vAlign w:val="bottom"/>
            <w:gridSpan w:val="2"/>
          </w:tcPr>
          <w:p>
            <w:pPr>
              <w:ind w:left="128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1218"/>
        </w:trPr>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HAWKINS, INC.</w:t>
      </w:r>
    </w:p>
    <w:p>
      <w:pPr>
        <w:spacing w:after="0" w:line="90" w:lineRule="exact"/>
        <w:rPr>
          <w:sz w:val="20"/>
          <w:szCs w:val="20"/>
          <w:color w:val="auto"/>
        </w:rPr>
      </w:pPr>
    </w:p>
    <w:p>
      <w:pPr>
        <w:ind w:left="20"/>
        <w:spacing w:after="0"/>
        <w:tabs>
          <w:tab w:leader="none" w:pos="4480" w:val="left"/>
          <w:tab w:leader="none" w:pos="7140" w:val="left"/>
        </w:tabs>
        <w:rPr>
          <w:sz w:val="20"/>
          <w:szCs w:val="20"/>
          <w:color w:val="auto"/>
        </w:rPr>
      </w:pPr>
      <w:r>
        <w:rPr>
          <w:rFonts w:ascii="Arial" w:cs="Arial" w:eastAsia="Arial" w:hAnsi="Arial"/>
          <w:sz w:val="18"/>
          <w:szCs w:val="18"/>
          <w:color w:val="auto"/>
        </w:rPr>
        <w:t>Date: October 26,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17780</wp:posOffset>
            </wp:positionV>
            <wp:extent cx="3900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30" w:lineRule="exact"/>
        <w:rPr>
          <w:sz w:val="20"/>
          <w:szCs w:val="20"/>
          <w:color w:val="auto"/>
        </w:rPr>
      </w:pPr>
    </w:p>
    <w:p>
      <w:pPr>
        <w:jc w:val="center"/>
        <w:ind w:left="5000"/>
        <w:spacing w:after="0"/>
        <w:rPr>
          <w:sz w:val="20"/>
          <w:szCs w:val="20"/>
          <w:color w:val="auto"/>
        </w:rPr>
      </w:pPr>
      <w:r>
        <w:rPr>
          <w:rFonts w:ascii="Arial" w:cs="Arial" w:eastAsia="Arial" w:hAnsi="Arial"/>
          <w:sz w:val="18"/>
          <w:szCs w:val="18"/>
          <w:color w:val="auto"/>
        </w:rPr>
        <w:t>Jeffrey P. Oldenkamp</w:t>
      </w:r>
    </w:p>
    <w:p>
      <w:pPr>
        <w:spacing w:after="0" w:line="36" w:lineRule="exact"/>
        <w:rPr>
          <w:sz w:val="20"/>
          <w:szCs w:val="20"/>
          <w:color w:val="auto"/>
        </w:rPr>
      </w:pPr>
    </w:p>
    <w:p>
      <w:pPr>
        <w:jc w:val="center"/>
        <w:ind w:left="50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0860"/>
          </w:cols>
          <w:pgMar w:left="320" w:top="890" w:right="719" w:bottom="1440" w:gutter="0" w:footer="0" w:header="0"/>
        </w:sectPr>
      </w:pPr>
    </w:p>
    <w:bookmarkStart w:id="3" w:name="page4"/>
    <w:bookmarkEnd w:id="3"/>
    <w:p>
      <w:pPr>
        <w:ind w:left="10260"/>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Fiscal 2027 Results</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Roseville, Minn., October 26, 2026 – Hawkins, Inc. (Nasdaq: HWKN) today announced results for its second quarter of fiscal 2027, the three months ended September 27, 2026.</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Year 2027 Highlights: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comparisons are to the second quarter of fiscal 2026 unless otherwise noted.)</w:t>
      </w:r>
    </w:p>
    <w:p>
      <w:pPr>
        <w:spacing w:after="0" w:line="115" w:lineRule="exact"/>
        <w:rPr>
          <w:sz w:val="20"/>
          <w:szCs w:val="20"/>
          <w:color w:val="auto"/>
        </w:rPr>
      </w:pPr>
    </w:p>
    <w:p>
      <w:pPr>
        <w:jc w:val="both"/>
        <w:ind w:left="660" w:hanging="328"/>
        <w:spacing w:after="0" w:line="268"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second quarter revenue of $313.8 million, with growth of 12%, driven by increased sales across all segments, including Water Treatment segment growth of 16%, Food &amp; Health Sciences segment growth of 5%, and Industrial Solutions segment growth of 10%.</w:t>
      </w:r>
    </w:p>
    <w:p>
      <w:pPr>
        <w:spacing w:after="0" w:line="62"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second quarter gross profit of $76.6 million, an increase of 13%.</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second quarter diluted earnings per share ("EPS") of $1.34 increased $0.25, or 23%.</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second quarter net income of $27.8 million increased 23%, with record trailing twelve-month net income of $85.8 million. Record Adjusted Earnings Before Interest, Taxes, Depreciation and Amortization (“adjusted EBITDA”), a non-GAAP measure, of $59.1 million, a 16% increase. Record trailing twelve-month adjusted EBITDA of $188.0 million.</w:t>
      </w:r>
    </w:p>
    <w:p>
      <w:pPr>
        <w:spacing w:after="0" w:line="62"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operating cash flow of $75.5 million, an increase of 6% for the six months ended September 27, 2026. Free cash flow, defined as net cash provided by operating activities less capital expenditures, increased 14% to $53.1 million compared to the same period in the prior year, which we allocated to repurchasing $18.6 million of stock, paying down $15.0 million of debt and paying $8.1 million in dividends.</w:t>
      </w:r>
    </w:p>
    <w:p>
      <w:pPr>
        <w:spacing w:after="0" w:line="68"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Closed our second acquisition of fiscal 2027 with the purchase of Dave Symonds &amp; Associates, Inc., a blended phosphates for corrosion control and sequestration focused water distributor based in Florida.</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Subsequent to quarter end, we expanded into the Dallas–Fort Worth region, pairing our greenfield Water Treatment facility with the acquisition of Eagle Labs, Inc., a water treatment distributor with in-house manufacturing capabilities and expertise in coagulants and polymers.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Commentary – Patrick H. Hawkins, Chief Executive Officer and President: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record second-quarter results in revenue, gross profit, EPS, and adjusted EBITDA reflect the agility of our employees and the resilience of our business model,” said Patrick Hawkins, President and Chief Executive Officer. “Revenue grew 12% in the quarter, including organic growth of 11%, with all three segments growing and Water Treatment revenue up 16%, primarily driven by increased volumes. Gross profit grew 13%, again led by Water Treatment at 20%, driven by volume growth and higher per-unit dollar margins. That gross profit growth flowed through to the bottom line, with diluted EPS up 23% and record adjusted EBITDA of $59 million, up 16%.”</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Hawkins continued, “We continue to generate strong cash flow. During the quarter, we repurchased $12 million of our stock, paid down $15 million of debt, and closed on the acquisition of Dave Symonds &amp; Associates, a tuck-in that expands our Water Treatment customer reach in Florida. Our leverage ratio at the end of the second quarter was 1.22x adjusted EBITDA, down from 1.37x at the end of fiscal 2026 and 1.54x in the same quarter last year. Subsequent to quarter end, we closed on the acquisition of Eagle Labs, which adds two locations in the Dallas–Fort Worth region, continuing our expansion in Texas. We will continue to deliver on our strategy of investing in our higher-margin businesses, acquiring companies that are accretive to Hawkins, and serving the needs of our customers to the highest level possible.”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Mr. Hawkins concluded, “Looking forward we expect the second half trends to be consistent with what we saw in the first half, recognizing that SG&amp;A in the second half of fiscal 2026 benefited from a non-recurring $6.2 million reduction in SG&amp;A which will not recur in the second half of fiscal 2027.”</w:t>
      </w:r>
    </w:p>
    <w:p>
      <w:pPr>
        <w:sectPr>
          <w:pgSz w:w="11900" w:h="16838" w:orient="portrait"/>
          <w:cols w:equalWidth="0" w:num="1">
            <w:col w:w="11240"/>
          </w:cols>
          <w:pgMar w:left="320" w:top="62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Second Quarter Financial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second quarter of fiscal 2027, we reported net income of $27.8 million, or $1.34 per diluted share, compared to net income for the second quarter of fiscal 2026 of $22.6 million, or $1.08 per diluted share.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Sales were $313.8 million for the second quarter of fiscal 2027, an increase of $33.4 million, or 12%, from sales of $280.4 million in the same period a year ago. All of our segments grew by 5% or more from the same period a year ago. Sales increased as a result of 11% organic sales growth and approximately $3.7 million of sales from acquired businesses.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Water Treatment segment sales increased $ 24.1 million, or 16%, to $175.0 million for the current quarter, from $150.9 million in the same period a year ago. Organic sales grew 14%, driven primarily by increased volumes, along with improved pricing on certain of our products. Growth was broad-based across our product lines and end markets, with the municipal end market particularly strong. Acquired businesses contributed approximately $3.7 million in additional sales.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Food &amp; Health Sciences segment sales increased $3.8 million, or 5%, to $76.7 million for the current quarter, from $72.9 million in the same period a year ago. Sales dollars increased as a result of increased volumes of our nutrition, food ingredients, and pharmaceutical products, partially offset by decreased sales of our agricultural products.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Industrial Solutions segment sales increased $5.6 million, or 10%, to $62.2 million for the current quarter, from $56.6 million in the same period a year ago. Sales increased as a result of improved pricing and favorable product mix, which more than offset lower volumes.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increased $9.0 million, or 13%, to $76.6 million, or 24% of sales, for the current quarter, from $67.6 million, or 24% of sales, in the same period a year ago. During the current quarter, the LIFO reserve increased, and gross profit decreased, by $ 1.9 million due to higher raw material costs. In the same period a year ago, the LIFO reserve increased, and gross profit decreased, by $0.3 million. The $1.6 million year-over-year impact of the unfavorable LIFO reserve was partially offset by $1.3 million of refunds of previously paid tariffs, which were recorded as a reduction of cost of sales. The refunded tariffs related to products for which customer pricing had not been increased in response to tariffs. Gross profit was also pressured by higher fuel costs that were not fully recovered through freight charges billed to customers.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for the Water Treatment segment increased $8.4 million, or 20%, to $51.7 million, or 30% of sales, for the current quarter, from $43.3 million, or 29% of sales, in the same period a year ago. During the current quarter, the LIFO reserve increased, and gross profit decreased, by $0.5 million. In the same period a year ago, the LIFO reserve decreased, and gross profit increased minimally. The $0.5 million year-over-year impact of the unfavorable LIFO reserve was more than offset by $1.2 million of refunds of previously paid tariffs, which were recorded as a reduction of cost of sales. The increase in gross profit was primarily driven by higher sales.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for the Food &amp; Health Sciences segment decreased $0.6 million, or 4%, to $14.9 million, or 19% of sales, for the current quarter, from $15.5 million, or 21% of sales, in the same period a year ago. During the current quarter, the LIFO reserve increased, and gross profit decreased, by $0.7 million. In the same period a year ago, the LIFO reserve increased, and gross profit decreased, by $0.2 million. Gross profit decreased as lower margins in our food and pharmaceutical products and the $0.5 million year-over-year impact of the unfavorable LIFO reserve more than offset the benefit of higher segment sales and improved margins in our nutrition and agriculture products.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for the Industrial Solutions segment increased $1.1 million, or 12%, to $10.0 million, or 16% of sales, for the current quarter, from $8.9 million, or 16% of sales, in the same period a year ago. During the current quarter, the LIFO reserve increased, and gross profit decreased, by $0.7 million. In the same period a year ago, the LIFO reserve increased, and gross profit decreased, by $0.1 million. The benefit of higher sales and favorable product mix was partially offset by the $0.6 million year-over-year impact of the unfavorable LIFO reserve.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(“SG&amp;A”) expenses increased $1.0 million, or 3%, to $ 34.7 million, or 11% of sales, for the three months ended September 27, 2026, from $33.7 million, or 12% of sales, in the same period a year ago. This included $0.4 million due to added costs from the acquired businesses in our Water Treatment segment. SG&amp;A expenses also increased due to increases in other variable costs, including variable pay and other personnel costs. These increases were partially offset by a $0.5 million decrease in non-qualified deferred compensation plan expense, as appreciation in the market value of plan investments was lower than in the same period a year ago. Deferred compensation plan expense is offset by a corresponding gain on plan investments recorded in other income (expense).</w:t>
      </w:r>
    </w:p>
    <w:p>
      <w:pPr>
        <w:sectPr>
          <w:pgSz w:w="11900" w:h="16838" w:orient="portrait"/>
          <w:cols w:equalWidth="0" w:num="1">
            <w:col w:w="11240"/>
          </w:cols>
          <w:pgMar w:left="320" w:top="56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ADJUSTED EBITDA</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EBITDA, a non-GAAP financial measure, is an important performance indicator and a key compliance measure under the terms of our credit agreement. An explanation of the computation of adjusted EBITDA is presented below. Adjusted EBITDA for the three months ended September 27, 2026 was $59.1 million, an increase of $8.2 million, or 16%, from $50.9 million in the same period a year ago. In the third quarter of fiscal 2026, we revised our definition of adjusted EBITDA to exclude non-cash earnout related expense and income, in order to better reflect results from operations. Prior-year adjusted EBITDA has been recast in accordance with the current definition. As originally reported, adjusted EBITDA for the three months ended September 28, 2025 was $50.4 million, which included non-cash earnout related expense that is excluded under the current definition.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income tax rate was 30% for the current quarter and 27% for the same period a year ago. The effective income tax rate for each period exceeded the U.S. federal statutory rate of 21%, primarily due to state income taxes on non-deductible expenses, including executive compensation and other permanent items. The increase in the effective income tax rate compared with prior-periods was primarily due to higher state income taxes and an increase in non-deductible items. The effective tax rate is impacted by projected levels of annual taxable income, permanent items, state taxes and discrete items, including tax effects of stock-based compensation. Our effective tax rate for the full year is expected to be approximately 25% to 27%.</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September 27, 2026, our working capital was $18 million higher than the end of fiscal 2026 due primarily to increased trade receivables and inventory, partially offset by an increase in payables. Our total debt outstanding at the end of the second quarter was $229.0 million, and our leverage ratio was 1.22x our trailing twelve-month adjusted EBITDA, as compared to 1.37x our trailing twelve-month adjusted EBITDA at the end of fiscal 2026.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Hawkins, Inc. was founded in 1938 and is a leading water treatment and specialty ingredients company that formulates, manufactures, distributes, and blends products for its Water Treatment, Food &amp; Health Sciences, and Industrial Solutions customers. Headquartered in Roseville, Minnesota, the Company has 69 facilities in 28 states and creates value for its customers through superb customer service and support, quality products and personalized applications. Hawkins, Inc. generated approximately $ 1.1 billion of revenue in fiscal 2026 and has approximately 1,200 employees. For more information, including registering to receive email alerts, please visit www.hawkinsinc.com/investors.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and free cash flow.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 uses these non-GAAP financial measures internally to understand, manage and evaluate our business and to make operating decisions. Management believes that these non-GAAP financial measures reflect an additional way of viewing aspects of our operations that, when viewed with our GAAP results, provide a more complete understanding of the factors and trends affecting our financial condition and results of operations.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charges for the employee stock purchase plan and restricted stock grants, non-recurring items of income or expense, and earnout related expense or income. The non-cash earnout related expense or income adjustment was added to our definition in the third quarter of fiscal 2026 to better reflect results from operations. Prior period amounts have been recast to conform to the current definition.</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free cash flow as net cash provided by operating activities less purchases of property, plant, and equipment. Management believes free cash flow is a useful measure of the cash generated by our business that is available for, among other things, debt repayment, acquisitions, dividends, and share repurchases.</w:t>
      </w:r>
    </w:p>
    <w:p>
      <w:pPr>
        <w:sectPr>
          <w:pgSz w:w="11900" w:h="16838" w:orient="portrait"/>
          <w:cols w:equalWidth="0" w:num="1">
            <w:col w:w="11240"/>
          </w:cols>
          <w:pgMar w:left="320" w:top="56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Pr>
          <w:p>
            <w:pPr>
              <w:spacing w:after="0"/>
              <w:rPr>
                <w:sz w:val="17"/>
                <w:szCs w:val="17"/>
                <w:color w:val="auto"/>
              </w:rPr>
            </w:pPr>
          </w:p>
        </w:tc>
        <w:tc>
          <w:tcPr>
            <w:tcW w:w="2660" w:type="dxa"/>
            <w:vAlign w:val="bottom"/>
            <w:gridSpan w:val="4"/>
            <w:vMerge w:val="restart"/>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vMerge w:val="restart"/>
          </w:tcPr>
          <w:p>
            <w:pPr>
              <w:jc w:val="right"/>
              <w:ind w:right="63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vMerge w:val="restart"/>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Trailing Twelve</w:t>
            </w:r>
          </w:p>
        </w:tc>
        <w:tc>
          <w:tcPr>
            <w:tcW w:w="0" w:type="dxa"/>
            <w:vAlign w:val="bottom"/>
          </w:tcPr>
          <w:p>
            <w:pPr>
              <w:spacing w:after="0"/>
              <w:rPr>
                <w:sz w:val="1"/>
                <w:szCs w:val="1"/>
                <w:color w:val="auto"/>
              </w:rPr>
            </w:pPr>
          </w:p>
        </w:tc>
      </w:tr>
      <w:tr>
        <w:trPr>
          <w:trHeight w:val="243"/>
        </w:trPr>
        <w:tc>
          <w:tcPr>
            <w:tcW w:w="3640" w:type="dxa"/>
            <w:vAlign w:val="bottom"/>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months ended</w:t>
            </w:r>
          </w:p>
        </w:tc>
        <w:tc>
          <w:tcPr>
            <w:tcW w:w="0" w:type="dxa"/>
            <w:vAlign w:val="bottom"/>
          </w:tcPr>
          <w:p>
            <w:pPr>
              <w:spacing w:after="0"/>
              <w:rPr>
                <w:sz w:val="1"/>
                <w:szCs w:val="1"/>
                <w:color w:val="auto"/>
              </w:rPr>
            </w:pPr>
          </w:p>
        </w:tc>
      </w:tr>
      <w:tr>
        <w:trPr>
          <w:trHeight w:val="183"/>
        </w:trPr>
        <w:tc>
          <w:tcPr>
            <w:tcW w:w="364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540" w:type="dxa"/>
            <w:vAlign w:val="bottom"/>
            <w:gridSpan w:val="3"/>
          </w:tcPr>
          <w:p>
            <w:pPr>
              <w:ind w:left="100"/>
              <w:spacing w:after="0" w:line="182" w:lineRule="exact"/>
              <w:rPr>
                <w:sz w:val="20"/>
                <w:szCs w:val="20"/>
                <w:color w:val="auto"/>
              </w:rPr>
            </w:pPr>
            <w:r>
              <w:rPr>
                <w:rFonts w:ascii="Arial" w:cs="Arial" w:eastAsia="Arial" w:hAnsi="Arial"/>
                <w:sz w:val="18"/>
                <w:szCs w:val="18"/>
                <w:b w:val="1"/>
                <w:bCs w:val="1"/>
                <w:color w:val="auto"/>
              </w:rPr>
              <w:t>September 27,</w:t>
            </w:r>
          </w:p>
        </w:tc>
        <w:tc>
          <w:tcPr>
            <w:tcW w:w="1540" w:type="dxa"/>
            <w:vAlign w:val="bottom"/>
            <w:gridSpan w:val="3"/>
          </w:tcPr>
          <w:p>
            <w:pPr>
              <w:ind w:left="100"/>
              <w:spacing w:after="0" w:line="182" w:lineRule="exact"/>
              <w:rPr>
                <w:sz w:val="20"/>
                <w:szCs w:val="20"/>
                <w:color w:val="auto"/>
              </w:rPr>
            </w:pPr>
            <w:r>
              <w:rPr>
                <w:rFonts w:ascii="Arial" w:cs="Arial" w:eastAsia="Arial" w:hAnsi="Arial"/>
                <w:sz w:val="18"/>
                <w:szCs w:val="18"/>
                <w:b w:val="1"/>
                <w:bCs w:val="1"/>
                <w:color w:val="auto"/>
              </w:rPr>
              <w:t>September 28,</w:t>
            </w:r>
          </w:p>
        </w:tc>
        <w:tc>
          <w:tcPr>
            <w:tcW w:w="1540" w:type="dxa"/>
            <w:vAlign w:val="bottom"/>
            <w:gridSpan w:val="3"/>
          </w:tcPr>
          <w:p>
            <w:pPr>
              <w:ind w:left="100"/>
              <w:spacing w:after="0" w:line="182" w:lineRule="exact"/>
              <w:rPr>
                <w:sz w:val="20"/>
                <w:szCs w:val="20"/>
                <w:color w:val="auto"/>
              </w:rPr>
            </w:pPr>
            <w:r>
              <w:rPr>
                <w:rFonts w:ascii="Arial" w:cs="Arial" w:eastAsia="Arial" w:hAnsi="Arial"/>
                <w:sz w:val="18"/>
                <w:szCs w:val="18"/>
                <w:b w:val="1"/>
                <w:bCs w:val="1"/>
                <w:color w:val="auto"/>
              </w:rPr>
              <w:t>September 27,</w:t>
            </w:r>
          </w:p>
        </w:tc>
        <w:tc>
          <w:tcPr>
            <w:tcW w:w="1540" w:type="dxa"/>
            <w:vAlign w:val="bottom"/>
            <w:gridSpan w:val="3"/>
          </w:tcPr>
          <w:p>
            <w:pPr>
              <w:ind w:left="100"/>
              <w:spacing w:after="0" w:line="182" w:lineRule="exact"/>
              <w:rPr>
                <w:sz w:val="20"/>
                <w:szCs w:val="20"/>
                <w:color w:val="auto"/>
              </w:rPr>
            </w:pPr>
            <w:r>
              <w:rPr>
                <w:rFonts w:ascii="Arial" w:cs="Arial" w:eastAsia="Arial" w:hAnsi="Arial"/>
                <w:sz w:val="18"/>
                <w:szCs w:val="18"/>
                <w:b w:val="1"/>
                <w:bCs w:val="1"/>
                <w:color w:val="auto"/>
              </w:rPr>
              <w:t>September 28,</w:t>
            </w:r>
          </w:p>
        </w:tc>
        <w:tc>
          <w:tcPr>
            <w:tcW w:w="1440" w:type="dxa"/>
            <w:vAlign w:val="bottom"/>
            <w:gridSpan w:val="2"/>
          </w:tcPr>
          <w:p>
            <w:pPr>
              <w:jc w:val="center"/>
              <w:spacing w:after="0" w:line="182" w:lineRule="exact"/>
              <w:rPr>
                <w:sz w:val="20"/>
                <w:szCs w:val="20"/>
                <w:color w:val="auto"/>
              </w:rPr>
            </w:pPr>
            <w:r>
              <w:rPr>
                <w:rFonts w:ascii="Arial" w:cs="Arial" w:eastAsia="Arial" w:hAnsi="Arial"/>
                <w:sz w:val="18"/>
                <w:szCs w:val="18"/>
                <w:b w:val="1"/>
                <w:bCs w:val="1"/>
                <w:color w:val="auto"/>
              </w:rPr>
              <w:t>September 27,</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2026</w:t>
            </w:r>
          </w:p>
        </w:tc>
        <w:tc>
          <w:tcPr>
            <w:tcW w:w="0" w:type="dxa"/>
            <w:vAlign w:val="bottom"/>
          </w:tcPr>
          <w:p>
            <w:pPr>
              <w:spacing w:after="0"/>
              <w:rPr>
                <w:sz w:val="1"/>
                <w:szCs w:val="1"/>
                <w:color w:val="auto"/>
              </w:rPr>
            </w:pPr>
          </w:p>
        </w:tc>
      </w:tr>
      <w:tr>
        <w:trPr>
          <w:trHeight w:val="237"/>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(GAAP)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85,810</w:t>
            </w:r>
          </w:p>
        </w:tc>
        <w:tc>
          <w:tcPr>
            <w:tcW w:w="0" w:type="dxa"/>
            <w:vAlign w:val="bottom"/>
          </w:tcPr>
          <w:p>
            <w:pPr>
              <w:spacing w:after="0"/>
              <w:rPr>
                <w:sz w:val="1"/>
                <w:szCs w:val="1"/>
                <w:color w:val="auto"/>
              </w:rPr>
            </w:pPr>
          </w:p>
        </w:tc>
      </w:tr>
      <w:tr>
        <w:trPr>
          <w:trHeight w:val="243"/>
        </w:trPr>
        <w:tc>
          <w:tcPr>
            <w:tcW w:w="364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11,822</w:t>
            </w: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30,546</w:t>
            </w:r>
          </w:p>
        </w:tc>
        <w:tc>
          <w:tcPr>
            <w:tcW w:w="0" w:type="dxa"/>
            <w:vAlign w:val="bottom"/>
          </w:tcPr>
          <w:p>
            <w:pPr>
              <w:spacing w:after="0"/>
              <w:rPr>
                <w:sz w:val="1"/>
                <w:szCs w:val="1"/>
                <w:color w:val="auto"/>
              </w:rPr>
            </w:pPr>
          </w:p>
        </w:tc>
      </w:tr>
      <w:tr>
        <w:trPr>
          <w:trHeight w:val="243"/>
        </w:trPr>
        <w:tc>
          <w:tcPr>
            <w:tcW w:w="364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21,963</w:t>
            </w: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33,266</w:t>
            </w:r>
          </w:p>
        </w:tc>
        <w:tc>
          <w:tcPr>
            <w:tcW w:w="0" w:type="dxa"/>
            <w:vAlign w:val="bottom"/>
          </w:tcPr>
          <w:p>
            <w:pPr>
              <w:spacing w:after="0"/>
              <w:rPr>
                <w:sz w:val="1"/>
                <w:szCs w:val="1"/>
                <w:color w:val="auto"/>
              </w:rPr>
            </w:pPr>
          </w:p>
        </w:tc>
      </w:tr>
      <w:tr>
        <w:trPr>
          <w:trHeight w:val="243"/>
        </w:trPr>
        <w:tc>
          <w:tcPr>
            <w:tcW w:w="364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8,154</w:t>
            </w: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Non-recurring acquisition expenses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189"/>
        </w:trPr>
        <w:tc>
          <w:tcPr>
            <w:tcW w:w="3640" w:type="dxa"/>
            <w:vAlign w:val="bottom"/>
          </w:tcPr>
          <w:p>
            <w:pPr>
              <w:ind w:left="140"/>
              <w:spacing w:after="0" w:line="189" w:lineRule="exact"/>
              <w:rPr>
                <w:sz w:val="20"/>
                <w:szCs w:val="20"/>
                <w:color w:val="auto"/>
              </w:rPr>
            </w:pPr>
            <w:r>
              <w:rPr>
                <w:rFonts w:ascii="Arial" w:cs="Arial" w:eastAsia="Arial" w:hAnsi="Arial"/>
                <w:sz w:val="18"/>
                <w:szCs w:val="18"/>
                <w:color w:val="auto"/>
              </w:rPr>
              <w:t>Non-cash earnout related expense</w:t>
            </w: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188,020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right="20" w:hanging="328"/>
        <w:spacing w:after="0" w:line="286" w:lineRule="auto"/>
        <w:tabs>
          <w:tab w:leader="none" w:pos="669" w:val="left"/>
        </w:tabs>
        <w:numPr>
          <w:ilvl w:val="0"/>
          <w:numId w:val="3"/>
        </w:numPr>
        <w:rPr>
          <w:rFonts w:ascii="Arial" w:cs="Arial" w:eastAsia="Arial" w:hAnsi="Arial"/>
          <w:sz w:val="16"/>
          <w:szCs w:val="16"/>
          <w:color w:val="auto"/>
        </w:rPr>
      </w:pPr>
      <w:r>
        <w:rPr>
          <w:rFonts w:ascii="Arial" w:cs="Arial" w:eastAsia="Arial" w:hAnsi="Arial"/>
          <w:sz w:val="16"/>
          <w:szCs w:val="16"/>
          <w:color w:val="auto"/>
        </w:rPr>
        <w:t>Acquisition expenses consist of legal, professional, and other direct costs incurred in connection with business acquisitions. These costs are transaction-specific and not part of normal recurring operations.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Free Cash Flow Reconciliation</w:t>
            </w:r>
          </w:p>
        </w:tc>
        <w:tc>
          <w:tcPr>
            <w:tcW w:w="28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702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6"/>
                <w:szCs w:val="16"/>
                <w:color w:val="auto"/>
              </w:rPr>
            </w:pPr>
          </w:p>
        </w:tc>
        <w:tc>
          <w:tcPr>
            <w:tcW w:w="182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rPr>
              <w:t>September 27,</w:t>
            </w:r>
          </w:p>
        </w:tc>
        <w:tc>
          <w:tcPr>
            <w:tcW w:w="300" w:type="dxa"/>
            <w:vAlign w:val="bottom"/>
          </w:tcPr>
          <w:p>
            <w:pPr>
              <w:spacing w:after="0"/>
              <w:rPr>
                <w:sz w:val="16"/>
                <w:szCs w:val="16"/>
                <w:color w:val="auto"/>
              </w:rPr>
            </w:pPr>
          </w:p>
        </w:tc>
        <w:tc>
          <w:tcPr>
            <w:tcW w:w="182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9"/>
              </w:rPr>
              <w:t>September 28,</w:t>
            </w:r>
          </w:p>
        </w:tc>
        <w:tc>
          <w:tcPr>
            <w:tcW w:w="0" w:type="dxa"/>
            <w:vAlign w:val="bottom"/>
          </w:tcPr>
          <w:p>
            <w:pPr>
              <w:spacing w:after="0"/>
              <w:rPr>
                <w:sz w:val="1"/>
                <w:szCs w:val="1"/>
                <w:color w:val="auto"/>
              </w:rPr>
            </w:pPr>
          </w:p>
        </w:tc>
      </w:tr>
      <w:tr>
        <w:trPr>
          <w:trHeight w:val="235"/>
        </w:trPr>
        <w:tc>
          <w:tcPr>
            <w:tcW w:w="70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3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rPr>
              <w:t>75,488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8"/>
              </w:rPr>
              <w:t>71,031</w:t>
            </w:r>
          </w:p>
        </w:tc>
        <w:tc>
          <w:tcPr>
            <w:tcW w:w="0" w:type="dxa"/>
            <w:vAlign w:val="bottom"/>
          </w:tcPr>
          <w:p>
            <w:pPr>
              <w:spacing w:after="0"/>
              <w:rPr>
                <w:sz w:val="1"/>
                <w:szCs w:val="1"/>
                <w:color w:val="auto"/>
              </w:rPr>
            </w:pPr>
          </w:p>
        </w:tc>
      </w:tr>
      <w:tr>
        <w:trPr>
          <w:trHeight w:val="24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Purchases of property, plant &amp; equipment</w:t>
            </w:r>
          </w:p>
        </w:tc>
        <w:tc>
          <w:tcPr>
            <w:tcW w:w="2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left="1030"/>
              <w:spacing w:after="0"/>
              <w:rPr>
                <w:sz w:val="20"/>
                <w:szCs w:val="20"/>
                <w:color w:val="auto"/>
              </w:rPr>
            </w:pPr>
            <w:r>
              <w:rPr>
                <w:rFonts w:ascii="Arial" w:cs="Arial" w:eastAsia="Arial" w:hAnsi="Arial"/>
                <w:sz w:val="18"/>
                <w:szCs w:val="18"/>
                <w:color w:val="auto"/>
                <w:w w:val="98"/>
              </w:rPr>
              <w:t>(22,355)</w:t>
            </w:r>
          </w:p>
        </w:tc>
        <w:tc>
          <w:tcPr>
            <w:tcW w:w="3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left="1010"/>
              <w:spacing w:after="0"/>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62"/>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center"/>
              <w:ind w:left="1050"/>
              <w:spacing w:after="0"/>
              <w:rPr>
                <w:sz w:val="20"/>
                <w:szCs w:val="20"/>
                <w:color w:val="auto"/>
              </w:rPr>
            </w:pPr>
            <w:r>
              <w:rPr>
                <w:rFonts w:ascii="Arial" w:cs="Arial" w:eastAsia="Arial" w:hAnsi="Arial"/>
                <w:sz w:val="18"/>
                <w:szCs w:val="18"/>
                <w:color w:val="auto"/>
              </w:rPr>
              <w:t>53,133</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98"/>
              </w:rPr>
              <w:t>46,689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59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183"/>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ind w:left="20"/>
              <w:spacing w:after="0" w:line="182" w:lineRule="exact"/>
              <w:rPr>
                <w:sz w:val="20"/>
                <w:szCs w:val="20"/>
                <w:color w:val="auto"/>
              </w:rPr>
            </w:pPr>
            <w:r>
              <w:rPr>
                <w:rFonts w:ascii="Arial" w:cs="Arial" w:eastAsia="Arial" w:hAnsi="Arial"/>
                <w:sz w:val="18"/>
                <w:szCs w:val="18"/>
                <w:b w:val="1"/>
                <w:bCs w:val="1"/>
                <w:color w:val="auto"/>
              </w:rPr>
              <w:t>September 27,</w:t>
            </w:r>
          </w:p>
        </w:tc>
        <w:tc>
          <w:tcPr>
            <w:tcW w:w="140" w:type="dxa"/>
            <w:vAlign w:val="bottom"/>
          </w:tcPr>
          <w:p>
            <w:pPr>
              <w:spacing w:after="0"/>
              <w:rPr>
                <w:sz w:val="15"/>
                <w:szCs w:val="15"/>
                <w:color w:val="auto"/>
              </w:rPr>
            </w:pPr>
          </w:p>
        </w:tc>
        <w:tc>
          <w:tcPr>
            <w:tcW w:w="14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September 28,</w:t>
            </w:r>
          </w:p>
        </w:tc>
        <w:tc>
          <w:tcPr>
            <w:tcW w:w="120" w:type="dxa"/>
            <w:vAlign w:val="bottom"/>
          </w:tcPr>
          <w:p>
            <w:pPr>
              <w:spacing w:after="0"/>
              <w:rPr>
                <w:sz w:val="15"/>
                <w:szCs w:val="15"/>
                <w:color w:val="auto"/>
              </w:rPr>
            </w:pPr>
          </w:p>
        </w:tc>
        <w:tc>
          <w:tcPr>
            <w:tcW w:w="14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September 27,</w:t>
            </w:r>
          </w:p>
        </w:tc>
        <w:tc>
          <w:tcPr>
            <w:tcW w:w="120" w:type="dxa"/>
            <w:vAlign w:val="bottom"/>
          </w:tcPr>
          <w:p>
            <w:pPr>
              <w:spacing w:after="0"/>
              <w:rPr>
                <w:sz w:val="15"/>
                <w:szCs w:val="15"/>
                <w:color w:val="auto"/>
              </w:rPr>
            </w:pPr>
          </w:p>
        </w:tc>
        <w:tc>
          <w:tcPr>
            <w:tcW w:w="138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w w:val="99"/>
              </w:rPr>
              <w:t>September 28,</w:t>
            </w:r>
          </w:p>
        </w:tc>
      </w:tr>
      <w:tr>
        <w:trPr>
          <w:trHeight w:val="243"/>
        </w:trPr>
        <w:tc>
          <w:tcPr>
            <w:tcW w:w="49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r>
      <w:tr>
        <w:trPr>
          <w:trHeight w:val="237"/>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629,492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573,706</w:t>
            </w:r>
          </w:p>
        </w:tc>
      </w:tr>
      <w:tr>
        <w:trPr>
          <w:trHeight w:val="24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(237,211)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(212,791)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(478,879)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(433,701)</w:t>
            </w:r>
          </w:p>
        </w:tc>
      </w:tr>
      <w:tr>
        <w:trPr>
          <w:trHeight w:val="237"/>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140,005</w:t>
            </w:r>
          </w:p>
        </w:tc>
      </w:tr>
      <w:tr>
        <w:trPr>
          <w:trHeight w:val="24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(64,732)</w:t>
            </w:r>
          </w:p>
        </w:tc>
      </w:tr>
      <w:tr>
        <w:trPr>
          <w:trHeight w:val="23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75,273</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(7,101)</w:t>
            </w: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39,527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76,851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69,835</w:t>
            </w: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(18,062)</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51,773</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4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20,710,228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20,737,743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20,743,855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20,727,614</w:t>
            </w: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20,783,044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20,845,744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20,827,219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20,837,595</w:t>
            </w:r>
          </w:p>
        </w:tc>
      </w:tr>
      <w:tr>
        <w:trPr>
          <w:trHeight w:val="270"/>
        </w:trPr>
        <w:tc>
          <w:tcPr>
            <w:tcW w:w="4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0"/>
        </w:trPr>
        <w:tc>
          <w:tcPr>
            <w:tcW w:w="4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0.37</w:t>
            </w:r>
          </w:p>
        </w:tc>
      </w:tr>
    </w:tbl>
    <w:p>
      <w:pPr>
        <w:sectPr>
          <w:pgSz w:w="11900" w:h="16838" w:orient="portrait"/>
          <w:cols w:equalWidth="0" w:num="1">
            <w:col w:w="11240"/>
          </w:cols>
          <w:pgMar w:left="320" w:top="10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27,</w:t>
            </w:r>
          </w:p>
        </w:tc>
        <w:tc>
          <w:tcPr>
            <w:tcW w:w="260" w:type="dxa"/>
            <w:vAlign w:val="bottom"/>
          </w:tcPr>
          <w:p>
            <w:pPr>
              <w:spacing w:after="0"/>
              <w:rPr>
                <w:sz w:val="16"/>
                <w:szCs w:val="16"/>
                <w:color w:val="auto"/>
              </w:rPr>
            </w:pPr>
          </w:p>
        </w:tc>
        <w:tc>
          <w:tcPr>
            <w:tcW w:w="126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29,</w:t>
            </w:r>
          </w:p>
        </w:tc>
      </w:tr>
      <w:tr>
        <w:trPr>
          <w:trHeight w:val="216"/>
        </w:trPr>
        <w:tc>
          <w:tcPr>
            <w:tcW w:w="8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w:t>
            </w:r>
          </w:p>
        </w:tc>
      </w:tr>
      <w:tr>
        <w:trPr>
          <w:trHeight w:val="243"/>
        </w:trPr>
        <w:tc>
          <w:tcPr>
            <w:tcW w:w="8140" w:type="dxa"/>
            <w:vAlign w:val="bottom"/>
          </w:tcPr>
          <w:p>
            <w:pPr>
              <w:ind w:left="360"/>
              <w:spacing w:after="0"/>
              <w:rPr>
                <w:sz w:val="20"/>
                <w:szCs w:val="20"/>
                <w:color w:val="auto"/>
              </w:rPr>
            </w:pPr>
            <w:r>
              <w:rPr>
                <w:rFonts w:ascii="Arial" w:cs="Arial" w:eastAsia="Arial" w:hAnsi="Arial"/>
                <w:sz w:val="18"/>
                <w:szCs w:val="18"/>
                <w:color w:val="auto"/>
              </w:rPr>
              <w:t>Trade accounts receivables,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149,281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139,796</w:t>
            </w:r>
          </w:p>
        </w:tc>
      </w:tr>
      <w:tr>
        <w:trPr>
          <w:trHeight w:val="24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92,947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78,199</w:t>
            </w:r>
          </w:p>
        </w:tc>
      </w:tr>
      <w:tr>
        <w:trPr>
          <w:trHeight w:val="24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9,556</w:t>
            </w:r>
          </w:p>
        </w:tc>
      </w:tr>
      <w:tr>
        <w:trPr>
          <w:trHeight w:val="223"/>
        </w:trPr>
        <w:tc>
          <w:tcPr>
            <w:tcW w:w="81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231,465</w:t>
            </w:r>
          </w:p>
        </w:tc>
      </w:tr>
      <w:tr>
        <w:trPr>
          <w:trHeight w:val="243"/>
        </w:trPr>
        <w:tc>
          <w:tcPr>
            <w:tcW w:w="814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509,360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489,662</w:t>
            </w:r>
          </w:p>
        </w:tc>
      </w:tr>
      <w:tr>
        <w:trPr>
          <w:trHeight w:val="24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237,614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223,406</w:t>
            </w:r>
          </w:p>
        </w:tc>
      </w:tr>
      <w:tr>
        <w:trPr>
          <w:trHeight w:val="223"/>
        </w:trPr>
        <w:tc>
          <w:tcPr>
            <w:tcW w:w="8140" w:type="dxa"/>
            <w:vAlign w:val="bottom"/>
          </w:tcPr>
          <w:p>
            <w:pPr>
              <w:ind w:left="80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271,746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266,256</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140" w:type="dxa"/>
            <w:vAlign w:val="bottom"/>
          </w:tcPr>
          <w:p>
            <w:pPr>
              <w:ind w:left="360"/>
              <w:spacing w:after="0"/>
              <w:rPr>
                <w:sz w:val="20"/>
                <w:szCs w:val="20"/>
                <w:color w:val="auto"/>
              </w:rPr>
            </w:pPr>
            <w:r>
              <w:rPr>
                <w:rFonts w:ascii="Arial" w:cs="Arial" w:eastAsia="Arial" w:hAnsi="Arial"/>
                <w:sz w:val="18"/>
                <w:szCs w:val="18"/>
                <w:color w:val="auto"/>
              </w:rPr>
              <w:t>Right-of-use assets,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17,170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16,840</w:t>
            </w:r>
          </w:p>
        </w:tc>
      </w:tr>
      <w:tr>
        <w:trPr>
          <w:trHeight w:val="24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223,042</w:t>
            </w:r>
          </w:p>
        </w:tc>
      </w:tr>
      <w:tr>
        <w:trPr>
          <w:trHeight w:val="243"/>
        </w:trPr>
        <w:tc>
          <w:tcPr>
            <w:tcW w:w="814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224,455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232,887</w:t>
            </w:r>
          </w:p>
        </w:tc>
      </w:tr>
      <w:tr>
        <w:trPr>
          <w:trHeight w:val="24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 plan asset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12,812</w:t>
            </w:r>
          </w:p>
        </w:tc>
      </w:tr>
      <w:tr>
        <w:trPr>
          <w:trHeight w:val="24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2,988</w:t>
            </w:r>
          </w:p>
        </w:tc>
      </w:tr>
      <w:tr>
        <w:trPr>
          <w:trHeight w:val="223"/>
        </w:trPr>
        <w:tc>
          <w:tcPr>
            <w:tcW w:w="81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483,185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488,569</w:t>
            </w:r>
          </w:p>
        </w:tc>
      </w:tr>
      <w:tr>
        <w:trPr>
          <w:trHeight w:val="223"/>
        </w:trPr>
        <w:tc>
          <w:tcPr>
            <w:tcW w:w="8140" w:type="dxa"/>
            <w:vAlign w:val="bottom"/>
          </w:tcPr>
          <w:p>
            <w:pPr>
              <w:ind w:left="8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1,012,052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986,290</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 trade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59,835</w:t>
            </w:r>
          </w:p>
        </w:tc>
      </w:tr>
      <w:tr>
        <w:trPr>
          <w:trHeight w:val="243"/>
        </w:trPr>
        <w:tc>
          <w:tcPr>
            <w:tcW w:w="8140" w:type="dxa"/>
            <w:vAlign w:val="bottom"/>
          </w:tcPr>
          <w:p>
            <w:pPr>
              <w:ind w:left="360"/>
              <w:spacing w:after="0"/>
              <w:rPr>
                <w:sz w:val="20"/>
                <w:szCs w:val="20"/>
                <w:color w:val="auto"/>
              </w:rPr>
            </w:pPr>
            <w:r>
              <w:rPr>
                <w:rFonts w:ascii="Arial" w:cs="Arial" w:eastAsia="Arial" w:hAnsi="Arial"/>
                <w:sz w:val="18"/>
                <w:szCs w:val="18"/>
                <w:color w:val="auto"/>
              </w:rPr>
              <w:t>Accrued payroll and employee benefits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15,746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20,092</w:t>
            </w:r>
          </w:p>
        </w:tc>
      </w:tr>
      <w:tr>
        <w:trPr>
          <w:trHeight w:val="24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43"/>
        </w:trPr>
        <w:tc>
          <w:tcPr>
            <w:tcW w:w="8140" w:type="dxa"/>
            <w:vAlign w:val="bottom"/>
          </w:tcPr>
          <w:p>
            <w:pPr>
              <w:ind w:left="360"/>
              <w:spacing w:after="0"/>
              <w:rPr>
                <w:sz w:val="20"/>
                <w:szCs w:val="20"/>
                <w:color w:val="auto"/>
              </w:rPr>
            </w:pPr>
            <w:r>
              <w:rPr>
                <w:rFonts w:ascii="Arial" w:cs="Arial" w:eastAsia="Arial" w:hAnsi="Arial"/>
                <w:sz w:val="18"/>
                <w:szCs w:val="18"/>
                <w:color w:val="auto"/>
              </w:rPr>
              <w:t>Environmental remediation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7,700</w:t>
            </w:r>
          </w:p>
        </w:tc>
      </w:tr>
      <w:tr>
        <w:trPr>
          <w:trHeight w:val="24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17,119</w:t>
            </w:r>
          </w:p>
        </w:tc>
      </w:tr>
      <w:tr>
        <w:trPr>
          <w:trHeight w:val="223"/>
        </w:trPr>
        <w:tc>
          <w:tcPr>
            <w:tcW w:w="814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112,756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104,844</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140" w:type="dxa"/>
            <w:vAlign w:val="bottom"/>
          </w:tcPr>
          <w:p>
            <w:pPr>
              <w:ind w:left="36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229,000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244,000</w:t>
            </w:r>
          </w:p>
        </w:tc>
      </w:tr>
      <w:tr>
        <w:trPr>
          <w:trHeight w:val="24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lease liabilities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14,457</w:t>
            </w:r>
          </w:p>
        </w:tc>
      </w:tr>
      <w:tr>
        <w:trPr>
          <w:trHeight w:val="243"/>
        </w:trPr>
        <w:tc>
          <w:tcPr>
            <w:tcW w:w="8140" w:type="dxa"/>
            <w:vAlign w:val="bottom"/>
          </w:tcPr>
          <w:p>
            <w:pPr>
              <w:ind w:left="360"/>
              <w:spacing w:after="0"/>
              <w:rPr>
                <w:sz w:val="20"/>
                <w:szCs w:val="20"/>
                <w:color w:val="auto"/>
              </w:rPr>
            </w:pPr>
            <w:r>
              <w:rPr>
                <w:rFonts w:ascii="Arial" w:cs="Arial" w:eastAsia="Arial" w:hAnsi="Arial"/>
                <w:sz w:val="18"/>
                <w:szCs w:val="18"/>
                <w:color w:val="auto"/>
              </w:rPr>
              <w:t>Pension withdrawal liability</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2,763</w:t>
            </w:r>
          </w:p>
        </w:tc>
      </w:tr>
      <w:tr>
        <w:trPr>
          <w:trHeight w:val="24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25,110</w:t>
            </w:r>
          </w:p>
        </w:tc>
      </w:tr>
      <w:tr>
        <w:trPr>
          <w:trHeight w:val="243"/>
        </w:trPr>
        <w:tc>
          <w:tcPr>
            <w:tcW w:w="8140" w:type="dxa"/>
            <w:vAlign w:val="bottom"/>
          </w:tcPr>
          <w:p>
            <w:pPr>
              <w:ind w:left="360"/>
              <w:spacing w:after="0"/>
              <w:rPr>
                <w:sz w:val="20"/>
                <w:szCs w:val="20"/>
                <w:color w:val="auto"/>
              </w:rPr>
            </w:pPr>
            <w:r>
              <w:rPr>
                <w:rFonts w:ascii="Arial" w:cs="Arial" w:eastAsia="Arial" w:hAnsi="Arial"/>
                <w:sz w:val="18"/>
                <w:szCs w:val="18"/>
                <w:color w:val="auto"/>
              </w:rPr>
              <w:t>Deferred compensation liability</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16,941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14,850</w:t>
            </w:r>
          </w:p>
        </w:tc>
      </w:tr>
      <w:tr>
        <w:trPr>
          <w:trHeight w:val="24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Earnout liabilities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45,985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44,898</w:t>
            </w:r>
          </w:p>
        </w:tc>
      </w:tr>
      <w:tr>
        <w:trPr>
          <w:trHeight w:val="24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w:t>
            </w:r>
          </w:p>
        </w:tc>
      </w:tr>
      <w:tr>
        <w:trPr>
          <w:trHeight w:val="223"/>
        </w:trPr>
        <w:tc>
          <w:tcPr>
            <w:tcW w:w="81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335,607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347,437</w:t>
            </w:r>
          </w:p>
        </w:tc>
      </w:tr>
      <w:tr>
        <w:trPr>
          <w:trHeight w:val="223"/>
        </w:trPr>
        <w:tc>
          <w:tcPr>
            <w:tcW w:w="8140" w:type="dxa"/>
            <w:vAlign w:val="bottom"/>
          </w:tcPr>
          <w:p>
            <w:pPr>
              <w:ind w:left="8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448,363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452,281</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89"/>
        </w:trPr>
        <w:tc>
          <w:tcPr>
            <w:tcW w:w="814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Common stock; authorized: 60,000,000 shares of $0.01 par value; 20,674,812 and</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4"/>
        </w:trPr>
        <w:tc>
          <w:tcPr>
            <w:tcW w:w="814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20,752,138 shares issued and outstanding as of September 27, 2026 and March 29,</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5"/>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2026, respectively</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43"/>
        </w:trPr>
        <w:tc>
          <w:tcPr>
            <w:tcW w:w="81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14,739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32,678</w:t>
            </w:r>
          </w:p>
        </w:tc>
      </w:tr>
      <w:tr>
        <w:trPr>
          <w:trHeight w:val="24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548,041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500,142</w:t>
            </w:r>
          </w:p>
        </w:tc>
      </w:tr>
      <w:tr>
        <w:trPr>
          <w:trHeight w:val="24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w:t>
            </w:r>
          </w:p>
        </w:tc>
      </w:tr>
      <w:tr>
        <w:trPr>
          <w:trHeight w:val="223"/>
        </w:trPr>
        <w:tc>
          <w:tcPr>
            <w:tcW w:w="81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563,689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534,009</w:t>
            </w:r>
          </w:p>
        </w:tc>
      </w:tr>
      <w:tr>
        <w:trPr>
          <w:trHeight w:val="223"/>
        </w:trPr>
        <w:tc>
          <w:tcPr>
            <w:tcW w:w="8140" w:type="dxa"/>
            <w:vAlign w:val="bottom"/>
          </w:tcPr>
          <w:p>
            <w:pPr>
              <w:ind w:left="80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1,012,052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986,290</w:t>
            </w:r>
          </w:p>
        </w:tc>
      </w:tr>
      <w:tr>
        <w:trPr>
          <w:trHeight w:val="21"/>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5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169"/>
        </w:trPr>
        <w:tc>
          <w:tcPr>
            <w:tcW w:w="8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September 27,</w:t>
            </w:r>
          </w:p>
        </w:tc>
        <w:tc>
          <w:tcPr>
            <w:tcW w:w="120" w:type="dxa"/>
            <w:vAlign w:val="bottom"/>
          </w:tcPr>
          <w:p>
            <w:pPr>
              <w:spacing w:after="0"/>
              <w:rPr>
                <w:sz w:val="14"/>
                <w:szCs w:val="14"/>
                <w:color w:val="auto"/>
              </w:rPr>
            </w:pPr>
          </w:p>
        </w:tc>
        <w:tc>
          <w:tcPr>
            <w:tcW w:w="1260" w:type="dxa"/>
            <w:vAlign w:val="bottom"/>
          </w:tcPr>
          <w:p>
            <w:pPr>
              <w:jc w:val="right"/>
              <w:ind w:right="59"/>
              <w:spacing w:after="0" w:line="169" w:lineRule="exact"/>
              <w:rPr>
                <w:sz w:val="20"/>
                <w:szCs w:val="20"/>
                <w:color w:val="auto"/>
              </w:rPr>
            </w:pPr>
            <w:r>
              <w:rPr>
                <w:rFonts w:ascii="Arial" w:cs="Arial" w:eastAsia="Arial" w:hAnsi="Arial"/>
                <w:sz w:val="16"/>
                <w:szCs w:val="16"/>
                <w:b w:val="1"/>
                <w:bCs w:val="1"/>
                <w:color w:val="auto"/>
              </w:rPr>
              <w:t>September 28,</w:t>
            </w:r>
          </w:p>
        </w:tc>
      </w:tr>
      <w:tr>
        <w:trPr>
          <w:trHeight w:val="216"/>
        </w:trPr>
        <w:tc>
          <w:tcPr>
            <w:tcW w:w="8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3"/>
        </w:trPr>
        <w:tc>
          <w:tcPr>
            <w:tcW w:w="82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56,035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51,773</w:t>
            </w:r>
          </w:p>
        </w:tc>
      </w:tr>
      <w:tr>
        <w:trPr>
          <w:trHeight w:val="243"/>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Reconciliation to cash flows: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28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28,240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25,553</w:t>
            </w:r>
          </w:p>
        </w:tc>
      </w:tr>
      <w:tr>
        <w:trPr>
          <w:trHeight w:val="243"/>
        </w:trPr>
        <w:tc>
          <w:tcPr>
            <w:tcW w:w="8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fair value of earnout liabilities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r>
      <w:tr>
        <w:trPr>
          <w:trHeight w:val="228"/>
        </w:trPr>
        <w:tc>
          <w:tcPr>
            <w:tcW w:w="8280" w:type="dxa"/>
            <w:vAlign w:val="bottom"/>
          </w:tcPr>
          <w:p>
            <w:pPr>
              <w:ind w:left="680"/>
              <w:spacing w:after="0"/>
              <w:rPr>
                <w:sz w:val="20"/>
                <w:szCs w:val="20"/>
                <w:color w:val="auto"/>
              </w:rPr>
            </w:pPr>
            <w:r>
              <w:rPr>
                <w:rFonts w:ascii="Arial" w:cs="Arial" w:eastAsia="Arial" w:hAnsi="Arial"/>
                <w:sz w:val="16"/>
                <w:szCs w:val="16"/>
                <w:color w:val="auto"/>
              </w:rPr>
              <w:t>Operating leases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1,881</w:t>
            </w:r>
          </w:p>
        </w:tc>
      </w:tr>
      <w:tr>
        <w:trPr>
          <w:trHeight w:val="231"/>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deferred compensation assets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w:t>
            </w:r>
          </w:p>
        </w:tc>
      </w:tr>
      <w:tr>
        <w:trPr>
          <w:trHeight w:val="243"/>
        </w:trPr>
        <w:tc>
          <w:tcPr>
            <w:tcW w:w="828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 compensation expense</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4,587</w:t>
            </w:r>
          </w:p>
        </w:tc>
      </w:tr>
      <w:tr>
        <w:trPr>
          <w:trHeight w:val="243"/>
        </w:trPr>
        <w:tc>
          <w:tcPr>
            <w:tcW w:w="8280" w:type="dxa"/>
            <w:vAlign w:val="bottom"/>
          </w:tcPr>
          <w:p>
            <w:pPr>
              <w:ind w:left="68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8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Changes in operating accounts providing (using) cash:</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280" w:type="dxa"/>
            <w:vAlign w:val="bottom"/>
          </w:tcPr>
          <w:p>
            <w:pPr>
              <w:ind w:left="1120"/>
              <w:spacing w:after="0"/>
              <w:rPr>
                <w:sz w:val="20"/>
                <w:szCs w:val="20"/>
                <w:color w:val="auto"/>
              </w:rPr>
            </w:pPr>
            <w:r>
              <w:rPr>
                <w:rFonts w:ascii="Arial" w:cs="Arial" w:eastAsia="Arial" w:hAnsi="Arial"/>
                <w:sz w:val="18"/>
                <w:szCs w:val="18"/>
                <w:color w:val="auto"/>
              </w:rPr>
              <w:t>Trade receivables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5,140</w:t>
            </w:r>
          </w:p>
        </w:tc>
      </w:tr>
      <w:tr>
        <w:trPr>
          <w:trHeight w:val="243"/>
        </w:trPr>
        <w:tc>
          <w:tcPr>
            <w:tcW w:w="82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(5,196)</w:t>
            </w:r>
          </w:p>
        </w:tc>
      </w:tr>
      <w:tr>
        <w:trPr>
          <w:trHeight w:val="243"/>
        </w:trPr>
        <w:tc>
          <w:tcPr>
            <w:tcW w:w="8280" w:type="dxa"/>
            <w:vAlign w:val="bottom"/>
          </w:tcPr>
          <w:p>
            <w:pPr>
              <w:ind w:left="11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(11,013)</w:t>
            </w:r>
          </w:p>
        </w:tc>
      </w:tr>
      <w:tr>
        <w:trPr>
          <w:trHeight w:val="243"/>
        </w:trPr>
        <w:tc>
          <w:tcPr>
            <w:tcW w:w="82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w:t>
            </w:r>
          </w:p>
        </w:tc>
      </w:tr>
      <w:tr>
        <w:trPr>
          <w:trHeight w:val="243"/>
        </w:trPr>
        <w:tc>
          <w:tcPr>
            <w:tcW w:w="8280" w:type="dxa"/>
            <w:vAlign w:val="bottom"/>
          </w:tcPr>
          <w:p>
            <w:pPr>
              <w:ind w:left="112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(1,897)</w:t>
            </w:r>
          </w:p>
        </w:tc>
      </w:tr>
      <w:tr>
        <w:trPr>
          <w:trHeight w:val="243"/>
        </w:trPr>
        <w:tc>
          <w:tcPr>
            <w:tcW w:w="82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4,082</w:t>
            </w:r>
          </w:p>
        </w:tc>
      </w:tr>
      <w:tr>
        <w:trPr>
          <w:trHeight w:val="243"/>
        </w:trPr>
        <w:tc>
          <w:tcPr>
            <w:tcW w:w="828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3,034</w:t>
            </w:r>
          </w:p>
        </w:tc>
      </w:tr>
      <w:tr>
        <w:trPr>
          <w:trHeight w:val="223"/>
        </w:trPr>
        <w:tc>
          <w:tcPr>
            <w:tcW w:w="82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71,031</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r>
      <w:tr>
        <w:trPr>
          <w:trHeight w:val="243"/>
        </w:trPr>
        <w:tc>
          <w:tcPr>
            <w:tcW w:w="828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(162,508)</w:t>
            </w:r>
          </w:p>
        </w:tc>
      </w:tr>
      <w:tr>
        <w:trPr>
          <w:trHeight w:val="243"/>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asset disposals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r>
      <w:tr>
        <w:trPr>
          <w:trHeight w:val="223"/>
        </w:trPr>
        <w:tc>
          <w:tcPr>
            <w:tcW w:w="8280" w:type="dxa"/>
            <w:vAlign w:val="bottom"/>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(27,038)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(185,813)</w:t>
            </w:r>
          </w:p>
        </w:tc>
      </w:tr>
      <w:tr>
        <w:trPr>
          <w:trHeight w:val="24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280" w:type="dxa"/>
            <w:vAlign w:val="bottom"/>
          </w:tcPr>
          <w:p>
            <w:pPr>
              <w:ind w:left="360"/>
              <w:spacing w:after="0"/>
              <w:rPr>
                <w:sz w:val="20"/>
                <w:szCs w:val="20"/>
                <w:color w:val="auto"/>
              </w:rPr>
            </w:pPr>
            <w:r>
              <w:rPr>
                <w:rFonts w:ascii="Arial" w:cs="Arial" w:eastAsia="Arial" w:hAnsi="Arial"/>
                <w:sz w:val="18"/>
                <w:szCs w:val="18"/>
                <w:color w:val="auto"/>
              </w:rPr>
              <w:t>Cash dividends declared and paid</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(7,723)</w:t>
            </w:r>
          </w:p>
        </w:tc>
      </w:tr>
      <w:tr>
        <w:trPr>
          <w:trHeight w:val="243"/>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shares issued</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w:t>
            </w:r>
          </w:p>
        </w:tc>
      </w:tr>
      <w:tr>
        <w:trPr>
          <w:trHeight w:val="229"/>
        </w:trPr>
        <w:tc>
          <w:tcPr>
            <w:tcW w:w="8280" w:type="dxa"/>
            <w:vAlign w:val="bottom"/>
          </w:tcPr>
          <w:p>
            <w:pPr>
              <w:ind w:left="360"/>
              <w:spacing w:after="0"/>
              <w:rPr>
                <w:sz w:val="20"/>
                <w:szCs w:val="20"/>
                <w:color w:val="auto"/>
              </w:rPr>
            </w:pPr>
            <w:r>
              <w:rPr>
                <w:rFonts w:ascii="Arial" w:cs="Arial" w:eastAsia="Arial" w:hAnsi="Arial"/>
                <w:sz w:val="16"/>
                <w:szCs w:val="16"/>
                <w:color w:val="auto"/>
              </w:rPr>
              <w:t>Payroll taxes paid in exchange for shares withheld</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(3,028)</w:t>
            </w: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8280" w:type="dxa"/>
            <w:vAlign w:val="bottom"/>
          </w:tcPr>
          <w:p>
            <w:pPr>
              <w:ind w:left="360"/>
              <w:spacing w:after="0"/>
              <w:rPr>
                <w:sz w:val="20"/>
                <w:szCs w:val="20"/>
                <w:color w:val="auto"/>
              </w:rPr>
            </w:pPr>
            <w:r>
              <w:rPr>
                <w:rFonts w:ascii="Arial" w:cs="Arial" w:eastAsia="Arial" w:hAnsi="Arial"/>
                <w:sz w:val="16"/>
                <w:szCs w:val="16"/>
                <w:color w:val="auto"/>
              </w:rPr>
              <w:t>Payments on senior secured revolving loan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(40,000)</w:t>
            </w: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for debt issuance costs</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r>
      <w:tr>
        <w:trPr>
          <w:trHeight w:val="228"/>
        </w:trPr>
        <w:tc>
          <w:tcPr>
            <w:tcW w:w="8280" w:type="dxa"/>
            <w:vAlign w:val="bottom"/>
          </w:tcPr>
          <w:p>
            <w:pPr>
              <w:ind w:left="360"/>
              <w:spacing w:after="0"/>
              <w:rPr>
                <w:sz w:val="20"/>
                <w:szCs w:val="20"/>
                <w:color w:val="auto"/>
              </w:rPr>
            </w:pPr>
            <w:r>
              <w:rPr>
                <w:rFonts w:ascii="Arial" w:cs="Arial" w:eastAsia="Arial" w:hAnsi="Arial"/>
                <w:sz w:val="16"/>
                <w:szCs w:val="16"/>
                <w:color w:val="auto"/>
              </w:rPr>
              <w:t>Borrowings on senior secured revolving loan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170,000</w:t>
            </w:r>
          </w:p>
        </w:tc>
      </w:tr>
      <w:tr>
        <w:trPr>
          <w:trHeight w:val="244"/>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28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120,094</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5,312</w:t>
            </w:r>
          </w:p>
        </w:tc>
      </w:tr>
      <w:tr>
        <w:trPr>
          <w:trHeight w:val="24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5,103</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28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14,512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13,980</w:t>
            </w:r>
          </w:p>
        </w:tc>
      </w:tr>
      <w:tr>
        <w:trPr>
          <w:trHeight w:val="243"/>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7,182</w:t>
            </w:r>
          </w:p>
        </w:tc>
      </w:tr>
      <w:tr>
        <w:trPr>
          <w:trHeight w:val="247"/>
        </w:trPr>
        <w:tc>
          <w:tcPr>
            <w:tcW w:w="8280" w:type="dxa"/>
            <w:vAlign w:val="bottom"/>
          </w:tcPr>
          <w:p>
            <w:pPr>
              <w:ind w:left="360"/>
              <w:spacing w:after="0"/>
              <w:rPr>
                <w:sz w:val="20"/>
                <w:szCs w:val="20"/>
                <w:color w:val="auto"/>
              </w:rPr>
            </w:pPr>
            <w:r>
              <w:rPr>
                <w:rFonts w:ascii="Arial" w:cs="Arial" w:eastAsia="Arial" w:hAnsi="Arial"/>
                <w:sz w:val="18"/>
                <w:szCs w:val="18"/>
                <w:color w:val="auto"/>
              </w:rPr>
              <w:t>Noncash investing activities - capital expenditures in 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2,273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1,568</w:t>
            </w:r>
          </w:p>
        </w:tc>
      </w:tr>
    </w:tbl>
    <w:p>
      <w:pPr>
        <w:sectPr>
          <w:pgSz w:w="11900" w:h="16838" w:orient="portrait"/>
          <w:cols w:equalWidth="0" w:num="1">
            <w:col w:w="11240"/>
          </w:cols>
          <w:pgMar w:left="320" w:top="890"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REPORTABLE SEGMENTS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Water</w:t>
            </w:r>
          </w:p>
        </w:tc>
        <w:tc>
          <w:tcPr>
            <w:tcW w:w="14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Food &amp; Health</w:t>
            </w:r>
          </w:p>
        </w:tc>
        <w:tc>
          <w:tcPr>
            <w:tcW w:w="18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Industrial</w:t>
            </w:r>
          </w:p>
        </w:tc>
        <w:tc>
          <w:tcPr>
            <w:tcW w:w="28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Treatment</w:t>
            </w:r>
          </w:p>
        </w:tc>
        <w:tc>
          <w:tcPr>
            <w:tcW w:w="180" w:type="dxa"/>
            <w:vAlign w:val="bottom"/>
          </w:tcPr>
          <w:p>
            <w:pPr>
              <w:spacing w:after="0"/>
              <w:rPr>
                <w:sz w:val="21"/>
                <w:szCs w:val="21"/>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Sciences</w:t>
            </w:r>
          </w:p>
        </w:tc>
        <w:tc>
          <w:tcPr>
            <w:tcW w:w="1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Solutions</w:t>
            </w: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September 27, 2026:</w:t>
            </w: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174,961</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76,679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62,177</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313,817</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 - materials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(49,294)</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(211,032)</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(18,824)</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(26,179)</w:t>
            </w: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76,606</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(23,477)</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(34,700)</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28,272</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Three months ended September 28, 2025:</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150,908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56,612</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280,434</w:t>
            </w:r>
          </w:p>
        </w:tc>
        <w:tc>
          <w:tcPr>
            <w:tcW w:w="0" w:type="dxa"/>
            <w:vAlign w:val="bottom"/>
          </w:tcPr>
          <w:p>
            <w:pPr>
              <w:spacing w:after="0"/>
              <w:rPr>
                <w:sz w:val="1"/>
                <w:szCs w:val="1"/>
                <w:color w:val="auto"/>
              </w:rPr>
            </w:pP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Cost of sales - materials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(88,814)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(53,153)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(45,131)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(187,098)</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(18,833)</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(25,693)</w:t>
            </w:r>
          </w:p>
        </w:tc>
        <w:tc>
          <w:tcPr>
            <w:tcW w:w="0" w:type="dxa"/>
            <w:vAlign w:val="bottom"/>
          </w:tcPr>
          <w:p>
            <w:pPr>
              <w:spacing w:after="0"/>
              <w:rPr>
                <w:sz w:val="1"/>
                <w:szCs w:val="1"/>
                <w:color w:val="auto"/>
              </w:rPr>
            </w:pPr>
          </w:p>
        </w:tc>
      </w:tr>
      <w:tr>
        <w:trPr>
          <w:trHeight w:val="236"/>
        </w:trPr>
        <w:tc>
          <w:tcPr>
            <w:tcW w:w="52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43,261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8,901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67,643</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(22,071)</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(33,703)</w:t>
            </w:r>
          </w:p>
        </w:tc>
        <w:tc>
          <w:tcPr>
            <w:tcW w:w="0" w:type="dxa"/>
            <w:vAlign w:val="bottom"/>
          </w:tcPr>
          <w:p>
            <w:pPr>
              <w:spacing w:after="0"/>
              <w:rPr>
                <w:sz w:val="1"/>
                <w:szCs w:val="1"/>
                <w:color w:val="auto"/>
              </w:rPr>
            </w:pPr>
          </w:p>
        </w:tc>
      </w:tr>
      <w:tr>
        <w:trPr>
          <w:trHeight w:val="237"/>
        </w:trPr>
        <w:tc>
          <w:tcPr>
            <w:tcW w:w="52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21,190</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September 27, 2026:</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333,254</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173,929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122,309</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629,492</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 - materials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(198,869)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(97,152)</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(426,716)</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(37,140)</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(52,163)</w:t>
            </w: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150,613</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(47,147)</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(6,919)</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(70,035)</w:t>
            </w:r>
          </w:p>
        </w:tc>
        <w:tc>
          <w:tcPr>
            <w:tcW w:w="0" w:type="dxa"/>
            <w:vAlign w:val="bottom"/>
          </w:tcPr>
          <w:p>
            <w:pPr>
              <w:spacing w:after="0"/>
              <w:rPr>
                <w:sz w:val="1"/>
                <w:szCs w:val="1"/>
                <w:color w:val="auto"/>
              </w:rPr>
            </w:pPr>
          </w:p>
        </w:tc>
      </w:tr>
      <w:tr>
        <w:trPr>
          <w:trHeight w:val="261"/>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50,098</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Six months ended September 28, 2025:</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300,474</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162,091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111,141</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573,706</w:t>
            </w:r>
          </w:p>
        </w:tc>
        <w:tc>
          <w:tcPr>
            <w:tcW w:w="0" w:type="dxa"/>
            <w:vAlign w:val="bottom"/>
          </w:tcPr>
          <w:p>
            <w:pPr>
              <w:spacing w:after="0"/>
              <w:rPr>
                <w:sz w:val="1"/>
                <w:szCs w:val="1"/>
                <w:color w:val="auto"/>
              </w:rPr>
            </w:pP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rPr>
              <w:t>Cost of sales - materials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(177,973)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(118,967)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(87,979)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(384,919)</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(35,493)</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(48,782)</w:t>
            </w:r>
          </w:p>
        </w:tc>
        <w:tc>
          <w:tcPr>
            <w:tcW w:w="0" w:type="dxa"/>
            <w:vAlign w:val="bottom"/>
          </w:tcPr>
          <w:p>
            <w:pPr>
              <w:spacing w:after="0"/>
              <w:rPr>
                <w:sz w:val="1"/>
                <w:szCs w:val="1"/>
                <w:color w:val="auto"/>
              </w:rPr>
            </w:pPr>
          </w:p>
        </w:tc>
      </w:tr>
      <w:tr>
        <w:trPr>
          <w:trHeight w:val="236"/>
        </w:trPr>
        <w:tc>
          <w:tcPr>
            <w:tcW w:w="52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87,008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18,168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140,005</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(41,156)</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(64,732)</w:t>
            </w:r>
          </w:p>
        </w:tc>
        <w:tc>
          <w:tcPr>
            <w:tcW w:w="0" w:type="dxa"/>
            <w:vAlign w:val="bottom"/>
          </w:tcPr>
          <w:p>
            <w:pPr>
              <w:spacing w:after="0"/>
              <w:rPr>
                <w:sz w:val="1"/>
                <w:szCs w:val="1"/>
                <w:color w:val="auto"/>
              </w:rPr>
            </w:pPr>
          </w:p>
        </w:tc>
      </w:tr>
      <w:tr>
        <w:trPr>
          <w:trHeight w:val="237"/>
        </w:trPr>
        <w:tc>
          <w:tcPr>
            <w:tcW w:w="52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45,852</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11,057</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75,273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890"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Various remarks in this press release constitute forward-looking statements within the meaning of Section 27A</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the Securities Act of 1933, as amended, and Section 21E of the Securities Exchange Act of 1934, as amended. These statements include those relating to consumer demand for products containing our ingredients and the impacts of those demands, expectations for results in our</w:t>
      </w:r>
    </w:p>
    <w:p>
      <w:pPr>
        <w:spacing w:after="0" w:line="236" w:lineRule="auto"/>
        <w:rPr>
          <w:sz w:val="20"/>
          <w:szCs w:val="20"/>
          <w:color w:val="auto"/>
        </w:rPr>
      </w:pPr>
      <w:r>
        <w:rPr>
          <w:rFonts w:ascii="Arial" w:cs="Arial" w:eastAsia="Arial" w:hAnsi="Arial"/>
          <w:sz w:val="18"/>
          <w:szCs w:val="18"/>
          <w:color w:val="auto"/>
        </w:rPr>
        <w:t>business segments and the timing of our filings with the Securities and Exchange Commission. These statements are not historical facts, but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rather are based on our current expectations, estimates and projections, and our beliefs and assumptions. Forward-looking statements may be identified by terms, including “anticipate,” “believe,” “can,” “could,” “expect,” “intend,” “may,” “predict,” “should,” or “will” or the negative of</w:t>
      </w:r>
    </w:p>
    <w:p>
      <w:pPr>
        <w:spacing w:after="0" w:line="236" w:lineRule="auto"/>
        <w:rPr>
          <w:sz w:val="20"/>
          <w:szCs w:val="20"/>
          <w:color w:val="auto"/>
        </w:rPr>
      </w:pPr>
      <w:r>
        <w:rPr>
          <w:rFonts w:ascii="Arial" w:cs="Arial" w:eastAsia="Arial" w:hAnsi="Arial"/>
          <w:sz w:val="18"/>
          <w:szCs w:val="18"/>
          <w:color w:val="auto"/>
        </w:rPr>
        <w:t>these terms or other comparable terms. These statements are not guarantees of future performance and are subject to certain risks,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uncertainties and other factors, some of which are beyond our control and are difficult to predict. Actual results may vary materially from those contained in forward looking statements based on a number of factors, including, but not limited to, changes in competition and price</w:t>
      </w:r>
    </w:p>
    <w:p>
      <w:pPr>
        <w:spacing w:after="0" w:line="236" w:lineRule="auto"/>
        <w:rPr>
          <w:sz w:val="20"/>
          <w:szCs w:val="20"/>
          <w:color w:val="auto"/>
        </w:rPr>
      </w:pPr>
      <w:r>
        <w:rPr>
          <w:rFonts w:ascii="Arial" w:cs="Arial" w:eastAsia="Arial" w:hAnsi="Arial"/>
          <w:sz w:val="18"/>
          <w:szCs w:val="18"/>
          <w:color w:val="auto"/>
        </w:rPr>
        <w:t>pressures, changes in demand and customer requirements or processes for our products, availability of product and disruptions to supplies,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interruptions in production resulting from hazards, transportation limitations or other extraordinary events outside our control that may negatively impact our business or the supply chains in which we participate, changes in imported products and tariff levels, the availability of</w:t>
      </w:r>
    </w:p>
    <w:p>
      <w:pPr>
        <w:spacing w:after="0" w:line="236" w:lineRule="auto"/>
        <w:rPr>
          <w:sz w:val="20"/>
          <w:szCs w:val="20"/>
          <w:color w:val="auto"/>
        </w:rPr>
      </w:pPr>
      <w:r>
        <w:rPr>
          <w:rFonts w:ascii="Arial" w:cs="Arial" w:eastAsia="Arial" w:hAnsi="Arial"/>
          <w:sz w:val="18"/>
          <w:szCs w:val="18"/>
          <w:color w:val="auto"/>
        </w:rPr>
        <w:t>products and the prices at which they are available, the acceptance of new products by our customers and the timing of any such</w:t>
      </w:r>
    </w:p>
    <w:p>
      <w:pPr>
        <w:spacing w:after="0" w:line="1" w:lineRule="exact"/>
        <w:rPr>
          <w:sz w:val="20"/>
          <w:szCs w:val="20"/>
          <w:color w:val="auto"/>
        </w:rPr>
      </w:pPr>
    </w:p>
    <w:p>
      <w:pPr>
        <w:spacing w:after="0" w:line="226" w:lineRule="auto"/>
        <w:rPr>
          <w:rFonts w:ascii="Arial" w:cs="Arial" w:eastAsia="Arial" w:hAnsi="Arial"/>
          <w:sz w:val="18"/>
          <w:szCs w:val="18"/>
          <w:color w:val="auto"/>
        </w:rPr>
      </w:pPr>
      <w:r>
        <w:rPr>
          <w:rFonts w:ascii="Arial" w:cs="Arial" w:eastAsia="Arial" w:hAnsi="Arial"/>
          <w:sz w:val="18"/>
          <w:szCs w:val="18"/>
          <w:color w:val="auto"/>
        </w:rPr>
        <w:t xml:space="preserve">acceptance, changes in product supplies, the availability of target acquisitions, and changes in interest rates. Additional information </w:t>
      </w:r>
      <w:hyperlink r:id="rId12">
        <w:r>
          <w:rPr>
            <w:rFonts w:ascii="Arial" w:cs="Arial" w:eastAsia="Arial" w:hAnsi="Arial"/>
            <w:sz w:val="18"/>
            <w:szCs w:val="18"/>
            <w:color w:val="auto"/>
          </w:rPr>
          <w:t xml:space="preserve">concerning potential factors that could affect future financial results is included in our </w:t>
        </w:r>
        <w:r>
          <w:rPr>
            <w:rFonts w:ascii="Arial" w:cs="Arial" w:eastAsia="Arial" w:hAnsi="Arial"/>
            <w:sz w:val="18"/>
            <w:szCs w:val="18"/>
            <w:u w:val="single" w:color="auto"/>
            <w:color w:val="0000FF"/>
          </w:rPr>
          <w:t>Annual Report on Form 10-K for the fiscal year ended</w:t>
        </w:r>
      </w:hyperlink>
    </w:p>
    <w:p>
      <w:pPr>
        <w:spacing w:after="0" w:line="236" w:lineRule="auto"/>
        <w:rPr>
          <w:rFonts w:ascii="Arial" w:cs="Arial" w:eastAsia="Arial" w:hAnsi="Arial"/>
          <w:sz w:val="18"/>
          <w:szCs w:val="18"/>
          <w:color w:val="0000FF"/>
        </w:rPr>
      </w:pPr>
      <w:hyperlink r:id="rId12">
        <w:r>
          <w:rPr>
            <w:rFonts w:ascii="Arial" w:cs="Arial" w:eastAsia="Arial" w:hAnsi="Arial"/>
            <w:sz w:val="18"/>
            <w:szCs w:val="18"/>
            <w:u w:val="single" w:color="auto"/>
            <w:color w:val="0000FF"/>
          </w:rPr>
          <w:t>March 29, 2026</w:t>
        </w:r>
        <w:r>
          <w:rPr>
            <w:rFonts w:ascii="Arial" w:cs="Arial" w:eastAsia="Arial" w:hAnsi="Arial"/>
            <w:sz w:val="18"/>
            <w:szCs w:val="18"/>
            <w:color w:val="000000"/>
          </w:rPr>
          <w:t>, as updated from time to time in amendments and subsequent reports filed with the SEC. Investors should take such risks</w:t>
        </w:r>
      </w:hyperlink>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into account when making investment decisions. Shareholders and other readers are cautioned not to place undue reliance on forward-looking statements, which reflect our management’s view only as of the date hereof. We do not undertake any obligation to update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Contacts:</w:t>
        <w:tab/>
        <w:t>Jack Shufelt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Investor Relations, Mergers and Acquisitions and Treasury Director</w:t>
      </w:r>
    </w:p>
    <w:p>
      <w:pPr>
        <w:ind w:left="200"/>
        <w:spacing w:after="0" w:line="234" w:lineRule="auto"/>
        <w:rPr>
          <w:sz w:val="20"/>
          <w:szCs w:val="20"/>
          <w:color w:val="auto"/>
        </w:rPr>
      </w:pPr>
      <w:r>
        <w:rPr>
          <w:rFonts w:ascii="Arial" w:cs="Arial" w:eastAsia="Arial" w:hAnsi="Arial"/>
          <w:sz w:val="18"/>
          <w:szCs w:val="18"/>
          <w:color w:val="auto"/>
        </w:rPr>
        <w:t>612/617-8582</w:t>
      </w:r>
    </w:p>
    <w:p>
      <w:pPr>
        <w:ind w:left="200"/>
        <w:spacing w:after="0" w:line="235" w:lineRule="auto"/>
        <w:rPr>
          <w:sz w:val="20"/>
          <w:szCs w:val="20"/>
          <w:color w:val="auto"/>
        </w:rPr>
      </w:pPr>
      <w:r>
        <w:rPr>
          <w:rFonts w:ascii="Arial" w:cs="Arial" w:eastAsia="Arial" w:hAnsi="Arial"/>
          <w:sz w:val="18"/>
          <w:szCs w:val="18"/>
          <w:color w:val="auto"/>
        </w:rPr>
        <w:t>ir@hawkinsinc.com</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jack.shufelt@hawkinsinc.com</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s://www.sec.gov/ix?doc=/Archives/edgar/data/0000046250/000004625026000018/hwkn-202603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2026-10-26T15:16:58Z</dcterms:created>
  <dcterms:modified xsi:type="dcterms:W3CDTF">2026-10-26T15:16:58Z</dcterms:modified>
</cp:coreProperties>
</file>